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B1295" w:rsidRDefault="00F24EA8" w:rsidP="00FC03A7">
      <w:pPr>
        <w:pStyle w:val="Heading1"/>
        <w:spacing w:before="0"/>
        <w:rPr>
          <w:rFonts w:eastAsia="Times New Roman"/>
          <w:sz w:val="36"/>
          <w:szCs w:val="36"/>
          <w:lang w:val="en-US" w:eastAsia="ru-RU"/>
        </w:rPr>
      </w:pPr>
      <w:bookmarkStart w:id="0" w:name="_GoBack"/>
      <w:bookmarkEnd w:id="0"/>
      <w:r>
        <w:rPr>
          <w:rFonts w:eastAsia="Times New Roman"/>
          <w:sz w:val="36"/>
          <w:szCs w:val="36"/>
          <w:lang w:val="en-US" w:eastAsia="ru-RU"/>
        </w:rPr>
        <w:t>Academic Fellowship Program</w:t>
      </w:r>
    </w:p>
    <w:p w:rsidR="00555427" w:rsidRPr="00FC03A7" w:rsidRDefault="001B1295" w:rsidP="00FC03A7">
      <w:pPr>
        <w:pStyle w:val="Heading1"/>
        <w:spacing w:before="0"/>
        <w:rPr>
          <w:rFonts w:eastAsia="Times New Roman"/>
          <w:b w:val="0"/>
          <w:bCs w:val="0"/>
          <w:sz w:val="24"/>
          <w:szCs w:val="24"/>
          <w:lang w:val="en-US" w:eastAsia="ru-RU"/>
        </w:rPr>
      </w:pPr>
      <w:r w:rsidRPr="00FC03A7">
        <w:rPr>
          <w:rFonts w:eastAsia="Times New Roman"/>
          <w:sz w:val="24"/>
          <w:szCs w:val="24"/>
          <w:lang w:val="en-US" w:eastAsia="ru-RU"/>
        </w:rPr>
        <w:t>Portfolio Review Document prepared by the Higher Education Support Program</w:t>
      </w:r>
    </w:p>
    <w:p w:rsidR="00FC03A7" w:rsidRPr="00FC03A7" w:rsidRDefault="00FC03A7" w:rsidP="00FC03A7">
      <w:pPr>
        <w:rPr>
          <w:lang w:val="en-US" w:eastAsia="ru-RU"/>
        </w:rPr>
      </w:pPr>
    </w:p>
    <w:p w:rsidR="00674233" w:rsidRPr="00FC03A7" w:rsidRDefault="00674233" w:rsidP="00FC03A7">
      <w:pPr>
        <w:pStyle w:val="Heading1"/>
        <w:spacing w:before="0"/>
        <w:rPr>
          <w:rFonts w:eastAsia="Times New Roman"/>
          <w:sz w:val="32"/>
          <w:szCs w:val="32"/>
          <w:lang w:val="en-US" w:eastAsia="ru-RU"/>
        </w:rPr>
      </w:pPr>
      <w:r w:rsidRPr="00FC03A7">
        <w:rPr>
          <w:rFonts w:eastAsia="Times New Roman"/>
          <w:sz w:val="32"/>
          <w:szCs w:val="32"/>
          <w:lang w:val="en-US" w:eastAsia="ru-RU"/>
        </w:rPr>
        <w:t>Executive Summary</w:t>
      </w:r>
    </w:p>
    <w:p w:rsidR="00843FC3" w:rsidRDefault="00057263" w:rsidP="00AE05F9">
      <w:pPr>
        <w:spacing w:line="240" w:lineRule="auto"/>
        <w:jc w:val="both"/>
        <w:rPr>
          <w:lang w:val="en-US" w:eastAsia="ru-RU"/>
        </w:rPr>
      </w:pPr>
      <w:r>
        <w:rPr>
          <w:lang w:val="en-US" w:eastAsia="ru-RU"/>
        </w:rPr>
        <w:t xml:space="preserve">HESP is in the process of winding down its Academic </w:t>
      </w:r>
      <w:r w:rsidR="00922341">
        <w:rPr>
          <w:lang w:val="en-US" w:eastAsia="ru-RU"/>
        </w:rPr>
        <w:t>F</w:t>
      </w:r>
      <w:r>
        <w:rPr>
          <w:lang w:val="en-US" w:eastAsia="ru-RU"/>
        </w:rPr>
        <w:t xml:space="preserve">ellowship Program (AFP). </w:t>
      </w:r>
      <w:r w:rsidR="00011AE0">
        <w:rPr>
          <w:lang w:val="en-US" w:eastAsia="ru-RU"/>
        </w:rPr>
        <w:t xml:space="preserve">Throughout its </w:t>
      </w:r>
      <w:r w:rsidR="00922341">
        <w:rPr>
          <w:lang w:val="en-US" w:eastAsia="ru-RU"/>
        </w:rPr>
        <w:t xml:space="preserve">nearly </w:t>
      </w:r>
      <w:r w:rsidR="00011AE0">
        <w:rPr>
          <w:lang w:val="en-US" w:eastAsia="ru-RU"/>
        </w:rPr>
        <w:t xml:space="preserve">decade of </w:t>
      </w:r>
      <w:r w:rsidR="00922341">
        <w:rPr>
          <w:lang w:val="en-US" w:eastAsia="ru-RU"/>
        </w:rPr>
        <w:t xml:space="preserve">service to </w:t>
      </w:r>
      <w:r w:rsidR="00AD4C9B">
        <w:rPr>
          <w:lang w:val="en-US" w:eastAsia="ru-RU"/>
        </w:rPr>
        <w:t>Southern Europe and Eurasia</w:t>
      </w:r>
      <w:r w:rsidR="00011AE0">
        <w:rPr>
          <w:lang w:val="en-US" w:eastAsia="ru-RU"/>
        </w:rPr>
        <w:t xml:space="preserve">, AFP has </w:t>
      </w:r>
      <w:r w:rsidR="00922341">
        <w:rPr>
          <w:lang w:val="en-US" w:eastAsia="ru-RU"/>
        </w:rPr>
        <w:t>assisted 95 university departments</w:t>
      </w:r>
      <w:r w:rsidR="00D91C90">
        <w:rPr>
          <w:lang w:val="en-US" w:eastAsia="ru-RU"/>
        </w:rPr>
        <w:t xml:space="preserve"> to launch and improve academic disciplines in the social science</w:t>
      </w:r>
      <w:r w:rsidR="00AE05F9">
        <w:rPr>
          <w:lang w:val="en-US" w:eastAsia="ru-RU"/>
        </w:rPr>
        <w:t xml:space="preserve">s and humanities. </w:t>
      </w:r>
      <w:r w:rsidR="00D73B67">
        <w:rPr>
          <w:lang w:val="en-US" w:eastAsia="ru-RU"/>
        </w:rPr>
        <w:t xml:space="preserve">The result has been the establishment of critical thinking hubs </w:t>
      </w:r>
      <w:r w:rsidR="00DF375F">
        <w:rPr>
          <w:lang w:val="en-US" w:eastAsia="ru-RU"/>
        </w:rPr>
        <w:t xml:space="preserve">with </w:t>
      </w:r>
      <w:r w:rsidR="00AF12B7">
        <w:rPr>
          <w:lang w:val="en-US" w:eastAsia="ru-RU"/>
        </w:rPr>
        <w:t>Western-educated faculty</w:t>
      </w:r>
      <w:r w:rsidR="00DF375F">
        <w:rPr>
          <w:lang w:val="en-US" w:eastAsia="ru-RU"/>
        </w:rPr>
        <w:t xml:space="preserve"> that have </w:t>
      </w:r>
      <w:r w:rsidR="00AD4C9B">
        <w:rPr>
          <w:lang w:val="en-US" w:eastAsia="ru-RU"/>
        </w:rPr>
        <w:t xml:space="preserve">taught </w:t>
      </w:r>
      <w:r w:rsidR="00DF375F">
        <w:rPr>
          <w:lang w:val="en-US" w:eastAsia="ru-RU"/>
        </w:rPr>
        <w:t xml:space="preserve">generations of students </w:t>
      </w:r>
      <w:r w:rsidR="00DF375F" w:rsidDel="00DF375F">
        <w:rPr>
          <w:lang w:val="en-US" w:eastAsia="ru-RU"/>
        </w:rPr>
        <w:t xml:space="preserve"> </w:t>
      </w:r>
      <w:r w:rsidR="00D73B67">
        <w:rPr>
          <w:lang w:val="en-US" w:eastAsia="ru-RU"/>
        </w:rPr>
        <w:t xml:space="preserve">in </w:t>
      </w:r>
      <w:r w:rsidR="00D60DCF">
        <w:rPr>
          <w:lang w:val="en-US" w:eastAsia="ru-RU"/>
        </w:rPr>
        <w:t xml:space="preserve">such </w:t>
      </w:r>
      <w:r w:rsidR="00A660B2">
        <w:rPr>
          <w:lang w:val="en-US" w:eastAsia="ru-RU"/>
        </w:rPr>
        <w:t xml:space="preserve">academic </w:t>
      </w:r>
      <w:r w:rsidR="00843FC3">
        <w:rPr>
          <w:lang w:val="en-US" w:eastAsia="ru-RU"/>
        </w:rPr>
        <w:t>disciplines</w:t>
      </w:r>
      <w:r w:rsidR="00D60DCF">
        <w:rPr>
          <w:lang w:val="en-US" w:eastAsia="ru-RU"/>
        </w:rPr>
        <w:t xml:space="preserve"> as human rights, political science, gender st</w:t>
      </w:r>
      <w:r w:rsidR="00D26A8C">
        <w:rPr>
          <w:lang w:val="en-US" w:eastAsia="ru-RU"/>
        </w:rPr>
        <w:t xml:space="preserve">udies </w:t>
      </w:r>
      <w:r w:rsidR="00D60DCF">
        <w:rPr>
          <w:lang w:val="en-US" w:eastAsia="ru-RU"/>
        </w:rPr>
        <w:t>for the first time—or for the first time in a professional manner</w:t>
      </w:r>
      <w:r w:rsidR="008F56EA">
        <w:rPr>
          <w:lang w:val="en-US" w:eastAsia="ru-RU"/>
        </w:rPr>
        <w:t xml:space="preserve">. </w:t>
      </w:r>
      <w:r w:rsidR="00A603C5">
        <w:rPr>
          <w:lang w:val="en-US" w:eastAsia="ru-RU"/>
        </w:rPr>
        <w:t xml:space="preserve">Having been largely sustained, these university departments </w:t>
      </w:r>
      <w:r w:rsidR="006925E0">
        <w:rPr>
          <w:lang w:val="en-US" w:eastAsia="ru-RU"/>
        </w:rPr>
        <w:t xml:space="preserve">from Kosovo to Mongolia </w:t>
      </w:r>
      <w:r w:rsidR="00BA0DA8">
        <w:rPr>
          <w:lang w:val="en-US" w:eastAsia="ru-RU"/>
        </w:rPr>
        <w:t>are poised to</w:t>
      </w:r>
      <w:r w:rsidR="003D716D">
        <w:rPr>
          <w:lang w:val="en-US" w:eastAsia="ru-RU"/>
        </w:rPr>
        <w:t xml:space="preserve"> benefit their respective societies for many years to come.</w:t>
      </w:r>
      <w:r w:rsidR="00BA38F2">
        <w:rPr>
          <w:lang w:val="en-US" w:eastAsia="ru-RU"/>
        </w:rPr>
        <w:t xml:space="preserve"> T</w:t>
      </w:r>
      <w:r w:rsidR="003D716D">
        <w:rPr>
          <w:lang w:val="en-US" w:eastAsia="ru-RU"/>
        </w:rPr>
        <w:t xml:space="preserve">he pool of </w:t>
      </w:r>
      <w:r w:rsidR="00D10374">
        <w:rPr>
          <w:lang w:val="en-US" w:eastAsia="ru-RU"/>
        </w:rPr>
        <w:t>well</w:t>
      </w:r>
      <w:r w:rsidR="00190427">
        <w:rPr>
          <w:lang w:val="en-US" w:eastAsia="ru-RU"/>
        </w:rPr>
        <w:t>-</w:t>
      </w:r>
      <w:r w:rsidR="003D716D">
        <w:rPr>
          <w:lang w:val="en-US" w:eastAsia="ru-RU"/>
        </w:rPr>
        <w:t xml:space="preserve">educated people that AFP has </w:t>
      </w:r>
      <w:r w:rsidR="00AD4C9B">
        <w:rPr>
          <w:lang w:val="en-US" w:eastAsia="ru-RU"/>
        </w:rPr>
        <w:t xml:space="preserve">shaped </w:t>
      </w:r>
      <w:r w:rsidR="00BA38F2">
        <w:rPr>
          <w:lang w:val="en-US" w:eastAsia="ru-RU"/>
        </w:rPr>
        <w:t xml:space="preserve">will </w:t>
      </w:r>
      <w:r w:rsidR="008F56EA">
        <w:rPr>
          <w:lang w:val="en-US" w:eastAsia="ru-RU"/>
        </w:rPr>
        <w:t xml:space="preserve">also </w:t>
      </w:r>
      <w:r w:rsidR="000F4848">
        <w:rPr>
          <w:lang w:val="en-US" w:eastAsia="ru-RU"/>
        </w:rPr>
        <w:t>help</w:t>
      </w:r>
      <w:r w:rsidR="00BA38F2">
        <w:rPr>
          <w:lang w:val="en-US" w:eastAsia="ru-RU"/>
        </w:rPr>
        <w:t xml:space="preserve"> ensure the presence </w:t>
      </w:r>
      <w:r w:rsidR="000F4848">
        <w:rPr>
          <w:lang w:val="en-US" w:eastAsia="ru-RU"/>
        </w:rPr>
        <w:t xml:space="preserve">of </w:t>
      </w:r>
      <w:r w:rsidR="0059014B">
        <w:rPr>
          <w:lang w:val="en-US" w:eastAsia="ru-RU"/>
        </w:rPr>
        <w:t>talented</w:t>
      </w:r>
      <w:r w:rsidR="000F4848">
        <w:rPr>
          <w:lang w:val="en-US" w:eastAsia="ru-RU"/>
        </w:rPr>
        <w:t xml:space="preserve"> </w:t>
      </w:r>
      <w:r w:rsidR="00C32833">
        <w:rPr>
          <w:lang w:val="en-US" w:eastAsia="ru-RU"/>
        </w:rPr>
        <w:t xml:space="preserve">individuals </w:t>
      </w:r>
      <w:r w:rsidR="0059014B">
        <w:rPr>
          <w:lang w:val="en-US" w:eastAsia="ru-RU"/>
        </w:rPr>
        <w:t>(</w:t>
      </w:r>
      <w:r w:rsidR="00C32833">
        <w:rPr>
          <w:lang w:val="en-US" w:eastAsia="ru-RU"/>
        </w:rPr>
        <w:t>and networks</w:t>
      </w:r>
      <w:r w:rsidR="0059014B">
        <w:rPr>
          <w:lang w:val="en-US" w:eastAsia="ru-RU"/>
        </w:rPr>
        <w:t>)</w:t>
      </w:r>
      <w:r w:rsidR="000F4848">
        <w:rPr>
          <w:lang w:val="en-US" w:eastAsia="ru-RU"/>
        </w:rPr>
        <w:t xml:space="preserve"> for OSF and other institutions to work with on a range of social questions.</w:t>
      </w:r>
      <w:r w:rsidR="00847A84">
        <w:rPr>
          <w:lang w:val="en-US" w:eastAsia="ru-RU"/>
        </w:rPr>
        <w:t xml:space="preserve"> </w:t>
      </w:r>
    </w:p>
    <w:p w:rsidR="00AA64D7" w:rsidRDefault="00AF0520" w:rsidP="00791A29">
      <w:pPr>
        <w:spacing w:line="240" w:lineRule="auto"/>
        <w:jc w:val="both"/>
        <w:rPr>
          <w:lang w:val="en-US" w:eastAsia="ru-RU"/>
        </w:rPr>
      </w:pPr>
      <w:r>
        <w:rPr>
          <w:lang w:val="en-US" w:eastAsia="ru-RU"/>
        </w:rPr>
        <w:t xml:space="preserve">AFP’s achievements notwithstanding, if we—AFP’s </w:t>
      </w:r>
      <w:r w:rsidR="00187BA0">
        <w:rPr>
          <w:lang w:val="en-US" w:eastAsia="ru-RU"/>
        </w:rPr>
        <w:t>acting</w:t>
      </w:r>
      <w:r>
        <w:rPr>
          <w:lang w:val="en-US" w:eastAsia="ru-RU"/>
        </w:rPr>
        <w:t xml:space="preserve"> management and remaining</w:t>
      </w:r>
      <w:r w:rsidR="00187BA0">
        <w:rPr>
          <w:lang w:val="en-US" w:eastAsia="ru-RU"/>
        </w:rPr>
        <w:t xml:space="preserve"> staff—could turn back </w:t>
      </w:r>
      <w:r w:rsidR="00751655">
        <w:rPr>
          <w:lang w:val="en-US" w:eastAsia="ru-RU"/>
        </w:rPr>
        <w:t>the clock</w:t>
      </w:r>
      <w:r>
        <w:rPr>
          <w:lang w:val="en-US" w:eastAsia="ru-RU"/>
        </w:rPr>
        <w:t xml:space="preserve"> </w:t>
      </w:r>
      <w:r w:rsidR="00187BA0">
        <w:rPr>
          <w:lang w:val="en-US" w:eastAsia="ru-RU"/>
        </w:rPr>
        <w:t xml:space="preserve">we would have done many things differently to position the program </w:t>
      </w:r>
      <w:r w:rsidR="0059014B">
        <w:rPr>
          <w:lang w:val="en-US" w:eastAsia="ru-RU"/>
        </w:rPr>
        <w:t>to achieve</w:t>
      </w:r>
      <w:r w:rsidR="00187BA0">
        <w:rPr>
          <w:lang w:val="en-US" w:eastAsia="ru-RU"/>
        </w:rPr>
        <w:t xml:space="preserve"> even </w:t>
      </w:r>
      <w:r w:rsidR="00187BA0" w:rsidRPr="00C62CDA">
        <w:rPr>
          <w:lang w:val="en-US" w:eastAsia="ru-RU"/>
        </w:rPr>
        <w:t>bigger</w:t>
      </w:r>
      <w:r w:rsidR="00187BA0">
        <w:rPr>
          <w:lang w:val="en-US" w:eastAsia="ru-RU"/>
        </w:rPr>
        <w:t xml:space="preserve"> successes.</w:t>
      </w:r>
      <w:r w:rsidR="005B7C06">
        <w:rPr>
          <w:lang w:val="en-US" w:eastAsia="ru-RU"/>
        </w:rPr>
        <w:t xml:space="preserve"> There is a wealth to be learned, both good and bad, from AFP’s assumptions, approach and results</w:t>
      </w:r>
      <w:r w:rsidR="00403BF4">
        <w:rPr>
          <w:lang w:val="en-US" w:eastAsia="ru-RU"/>
        </w:rPr>
        <w:t xml:space="preserve">. This Portfolio Review gives us the chance to expose </w:t>
      </w:r>
      <w:r w:rsidR="00764B3D">
        <w:rPr>
          <w:lang w:val="en-US" w:eastAsia="ru-RU"/>
        </w:rPr>
        <w:t>such</w:t>
      </w:r>
      <w:r w:rsidR="00403BF4">
        <w:rPr>
          <w:lang w:val="en-US" w:eastAsia="ru-RU"/>
        </w:rPr>
        <w:t xml:space="preserve"> thinking.</w:t>
      </w:r>
    </w:p>
    <w:p w:rsidR="00403BF4" w:rsidRDefault="00764B3D" w:rsidP="00AF2604">
      <w:pPr>
        <w:spacing w:line="240" w:lineRule="auto"/>
        <w:jc w:val="both"/>
        <w:rPr>
          <w:lang w:val="en-US" w:eastAsia="ru-RU"/>
        </w:rPr>
      </w:pPr>
      <w:r w:rsidRPr="006B3903">
        <w:rPr>
          <w:lang w:val="en-US" w:eastAsia="ru-RU"/>
        </w:rPr>
        <w:t xml:space="preserve">For instance, </w:t>
      </w:r>
      <w:r w:rsidR="00AB2068" w:rsidRPr="006B3903">
        <w:rPr>
          <w:lang w:val="en-US"/>
        </w:rPr>
        <w:t xml:space="preserve">AFP required </w:t>
      </w:r>
      <w:r w:rsidR="00CB74C8" w:rsidRPr="006B3903">
        <w:rPr>
          <w:lang w:val="en-US"/>
        </w:rPr>
        <w:t xml:space="preserve">a </w:t>
      </w:r>
      <w:r w:rsidR="00AB2068" w:rsidRPr="006B3903">
        <w:rPr>
          <w:lang w:val="en-US"/>
        </w:rPr>
        <w:t>more nuanced country context approach.</w:t>
      </w:r>
      <w:r w:rsidR="00A47729" w:rsidRPr="006B3903">
        <w:rPr>
          <w:lang w:val="en-US"/>
        </w:rPr>
        <w:t xml:space="preserve"> Eschewing a one-size-fits-all </w:t>
      </w:r>
      <w:r w:rsidR="00751655">
        <w:rPr>
          <w:lang w:val="en-US"/>
        </w:rPr>
        <w:t>method</w:t>
      </w:r>
      <w:r w:rsidR="00CB74C8" w:rsidRPr="006B3903">
        <w:rPr>
          <w:lang w:val="en-US"/>
        </w:rPr>
        <w:t xml:space="preserve"> of operation</w:t>
      </w:r>
      <w:r w:rsidR="00A47729" w:rsidRPr="006B3903">
        <w:rPr>
          <w:lang w:val="en-US"/>
        </w:rPr>
        <w:t xml:space="preserve"> could</w:t>
      </w:r>
      <w:r w:rsidR="00AB2068" w:rsidRPr="006B3903">
        <w:rPr>
          <w:lang w:val="en-US"/>
        </w:rPr>
        <w:t xml:space="preserve"> have led to significantly different interventions in certain locations and perhaps more profound results.</w:t>
      </w:r>
      <w:r w:rsidR="00A47729" w:rsidRPr="006B3903">
        <w:rPr>
          <w:lang w:val="en-US" w:eastAsia="ru-RU"/>
        </w:rPr>
        <w:t xml:space="preserve"> A</w:t>
      </w:r>
      <w:r w:rsidR="00A47729" w:rsidRPr="006B3903">
        <w:rPr>
          <w:lang w:val="en-US"/>
        </w:rPr>
        <w:t xml:space="preserve"> </w:t>
      </w:r>
      <w:r w:rsidR="00AA64D7" w:rsidRPr="006B3903">
        <w:rPr>
          <w:lang w:val="en-US"/>
        </w:rPr>
        <w:t xml:space="preserve">different </w:t>
      </w:r>
      <w:r w:rsidR="008D407A" w:rsidRPr="006B3903">
        <w:rPr>
          <w:lang w:val="en-US"/>
        </w:rPr>
        <w:t>way</w:t>
      </w:r>
      <w:r w:rsidR="00AA64D7" w:rsidRPr="006B3903">
        <w:rPr>
          <w:lang w:val="en-US"/>
        </w:rPr>
        <w:t xml:space="preserve"> </w:t>
      </w:r>
      <w:r w:rsidR="008D407A" w:rsidRPr="006B3903">
        <w:rPr>
          <w:lang w:val="en-US"/>
        </w:rPr>
        <w:t xml:space="preserve">of </w:t>
      </w:r>
      <w:r w:rsidR="00AA64D7" w:rsidRPr="006B3903">
        <w:rPr>
          <w:lang w:val="en-US"/>
        </w:rPr>
        <w:t>conceptualiz</w:t>
      </w:r>
      <w:r w:rsidR="008D407A" w:rsidRPr="006B3903">
        <w:rPr>
          <w:lang w:val="en-US"/>
        </w:rPr>
        <w:t>ing</w:t>
      </w:r>
      <w:r w:rsidR="00AA64D7" w:rsidRPr="006B3903">
        <w:rPr>
          <w:lang w:val="en-US"/>
        </w:rPr>
        <w:t xml:space="preserve"> progress and measur</w:t>
      </w:r>
      <w:r w:rsidR="008D407A" w:rsidRPr="006B3903">
        <w:rPr>
          <w:lang w:val="en-US"/>
        </w:rPr>
        <w:t>ing</w:t>
      </w:r>
      <w:r w:rsidR="00AA64D7" w:rsidRPr="006B3903">
        <w:rPr>
          <w:lang w:val="en-US"/>
        </w:rPr>
        <w:t xml:space="preserve"> impact</w:t>
      </w:r>
      <w:r w:rsidR="008D407A" w:rsidRPr="006B3903">
        <w:rPr>
          <w:lang w:val="en-US"/>
        </w:rPr>
        <w:t xml:space="preserve"> was also needed</w:t>
      </w:r>
      <w:r w:rsidR="00F2369F" w:rsidRPr="006B3903">
        <w:rPr>
          <w:lang w:val="en-US"/>
        </w:rPr>
        <w:t>—t</w:t>
      </w:r>
      <w:r w:rsidR="00AA64D7" w:rsidRPr="006B3903">
        <w:rPr>
          <w:lang w:val="en-US"/>
        </w:rPr>
        <w:t>he results of which could have better informed and guided AFP programming throughout.</w:t>
      </w:r>
      <w:r w:rsidR="00F2369F" w:rsidRPr="006B3903">
        <w:rPr>
          <w:lang w:val="en-US"/>
        </w:rPr>
        <w:t xml:space="preserve"> In short, AFP measured outputs, not outcomes. </w:t>
      </w:r>
      <w:r w:rsidR="00552607" w:rsidRPr="006B3903">
        <w:rPr>
          <w:lang w:val="en-US"/>
        </w:rPr>
        <w:t>It</w:t>
      </w:r>
      <w:r w:rsidR="00AF2604" w:rsidRPr="006B3903">
        <w:rPr>
          <w:lang w:val="en-US"/>
        </w:rPr>
        <w:t xml:space="preserve"> </w:t>
      </w:r>
      <w:r w:rsidR="00F4211D">
        <w:rPr>
          <w:lang w:val="en-US"/>
        </w:rPr>
        <w:t xml:space="preserve">also </w:t>
      </w:r>
      <w:r w:rsidR="00AF2604" w:rsidRPr="006B3903">
        <w:rPr>
          <w:lang w:val="en-US"/>
        </w:rPr>
        <w:t xml:space="preserve">should have more effectively balanced </w:t>
      </w:r>
      <w:r w:rsidR="00C62CDA">
        <w:rPr>
          <w:lang w:val="en-US"/>
        </w:rPr>
        <w:t>individual</w:t>
      </w:r>
      <w:r w:rsidR="00AF2604" w:rsidRPr="006B3903">
        <w:rPr>
          <w:lang w:val="en-US"/>
        </w:rPr>
        <w:t xml:space="preserve"> approaches with institutional support for departments</w:t>
      </w:r>
      <w:r w:rsidR="00390643" w:rsidRPr="006B3903">
        <w:rPr>
          <w:lang w:val="en-US"/>
        </w:rPr>
        <w:t xml:space="preserve">. </w:t>
      </w:r>
      <w:r w:rsidR="00CE4DA0" w:rsidRPr="006B3903">
        <w:rPr>
          <w:lang w:val="en-US"/>
        </w:rPr>
        <w:t>It should have allowed the participation of private universities in countries where they merited support, as opposed to being inherently disqualified based on ownership grounds.</w:t>
      </w:r>
      <w:r w:rsidR="00442928">
        <w:rPr>
          <w:lang w:val="en-US"/>
        </w:rPr>
        <w:t xml:space="preserve"> </w:t>
      </w:r>
      <w:r w:rsidR="009D6E7C" w:rsidRPr="006B3903">
        <w:rPr>
          <w:lang w:val="en-US"/>
        </w:rPr>
        <w:t xml:space="preserve">And it </w:t>
      </w:r>
      <w:r w:rsidR="003972DB" w:rsidRPr="006B3903">
        <w:rPr>
          <w:lang w:val="en-US"/>
        </w:rPr>
        <w:t xml:space="preserve">could </w:t>
      </w:r>
      <w:r w:rsidR="008A0007" w:rsidRPr="006B3903">
        <w:rPr>
          <w:lang w:val="en-US"/>
        </w:rPr>
        <w:t xml:space="preserve">have done all of this with a </w:t>
      </w:r>
      <w:r w:rsidR="003972DB" w:rsidRPr="006B3903">
        <w:rPr>
          <w:lang w:val="en-US"/>
        </w:rPr>
        <w:t>leaner administrative structure.</w:t>
      </w:r>
      <w:r w:rsidR="003972DB">
        <w:rPr>
          <w:lang w:val="en-US"/>
        </w:rPr>
        <w:t xml:space="preserve"> </w:t>
      </w:r>
    </w:p>
    <w:p w:rsidR="002E09F6" w:rsidRDefault="00407D69" w:rsidP="00AF2604">
      <w:pPr>
        <w:spacing w:line="240" w:lineRule="auto"/>
        <w:jc w:val="both"/>
        <w:rPr>
          <w:lang w:val="en-US"/>
        </w:rPr>
      </w:pPr>
      <w:r>
        <w:rPr>
          <w:lang w:val="en-US"/>
        </w:rPr>
        <w:t>M</w:t>
      </w:r>
      <w:r w:rsidR="00812CFB">
        <w:rPr>
          <w:lang w:val="en-US"/>
        </w:rPr>
        <w:t xml:space="preserve">any key lessons </w:t>
      </w:r>
      <w:r>
        <w:rPr>
          <w:lang w:val="en-US"/>
        </w:rPr>
        <w:t xml:space="preserve">were </w:t>
      </w:r>
      <w:r w:rsidR="00812CFB">
        <w:rPr>
          <w:lang w:val="en-US"/>
        </w:rPr>
        <w:t>learned throughout the past decade</w:t>
      </w:r>
      <w:r>
        <w:rPr>
          <w:lang w:val="en-US"/>
        </w:rPr>
        <w:t>.</w:t>
      </w:r>
      <w:r w:rsidR="00812CFB">
        <w:rPr>
          <w:lang w:val="en-US"/>
        </w:rPr>
        <w:t xml:space="preserve"> These </w:t>
      </w:r>
      <w:r w:rsidR="00B4070B">
        <w:rPr>
          <w:lang w:val="en-US"/>
        </w:rPr>
        <w:t>relate mainly to AFP’s instruments</w:t>
      </w:r>
      <w:r>
        <w:rPr>
          <w:lang w:val="en-US"/>
        </w:rPr>
        <w:t xml:space="preserve"> </w:t>
      </w:r>
      <w:r w:rsidR="00636342">
        <w:rPr>
          <w:lang w:val="en-US"/>
        </w:rPr>
        <w:t xml:space="preserve">and cover such issues as the formation of critical numbers of AFP scholars in single departments, the long-term integration of scholars in their departments, the need to </w:t>
      </w:r>
      <w:r w:rsidR="002A2DA8">
        <w:rPr>
          <w:lang w:val="en-US"/>
        </w:rPr>
        <w:t>engage</w:t>
      </w:r>
      <w:r w:rsidR="00636342">
        <w:rPr>
          <w:lang w:val="en-US"/>
        </w:rPr>
        <w:t xml:space="preserve"> with non-AFP faculty, </w:t>
      </w:r>
      <w:r w:rsidR="002A2DA8">
        <w:rPr>
          <w:lang w:val="en-US"/>
        </w:rPr>
        <w:t>the heightened use of AFP alumni, and ways to maximize the potential of the International Scholars.</w:t>
      </w:r>
    </w:p>
    <w:p w:rsidR="002A2DA8" w:rsidRPr="00AF2604" w:rsidRDefault="003445FE" w:rsidP="00AF2604">
      <w:pPr>
        <w:spacing w:line="240" w:lineRule="auto"/>
        <w:jc w:val="both"/>
        <w:rPr>
          <w:lang w:val="en-US" w:eastAsia="ru-RU"/>
        </w:rPr>
      </w:pPr>
      <w:r>
        <w:rPr>
          <w:lang w:val="en-US"/>
        </w:rPr>
        <w:t>T</w:t>
      </w:r>
      <w:r w:rsidR="00B6721C">
        <w:rPr>
          <w:lang w:val="en-US"/>
        </w:rPr>
        <w:t xml:space="preserve">hese lessons are analyzed and explored in </w:t>
      </w:r>
      <w:r>
        <w:rPr>
          <w:lang w:val="en-US"/>
        </w:rPr>
        <w:t xml:space="preserve">some </w:t>
      </w:r>
      <w:r w:rsidR="00B6721C">
        <w:rPr>
          <w:lang w:val="en-US"/>
        </w:rPr>
        <w:t xml:space="preserve">detail </w:t>
      </w:r>
      <w:r w:rsidR="0045698E">
        <w:rPr>
          <w:lang w:val="en-US"/>
        </w:rPr>
        <w:t xml:space="preserve">in this paper </w:t>
      </w:r>
      <w:r w:rsidR="00B6721C">
        <w:rPr>
          <w:lang w:val="en-US"/>
        </w:rPr>
        <w:t xml:space="preserve">following a short descriptive </w:t>
      </w:r>
      <w:r w:rsidR="0045698E">
        <w:rPr>
          <w:lang w:val="en-US"/>
        </w:rPr>
        <w:t xml:space="preserve">overview of AFP and its instruments. To be sure, HESP’s </w:t>
      </w:r>
      <w:r w:rsidR="00EA1088">
        <w:rPr>
          <w:lang w:val="en-US"/>
        </w:rPr>
        <w:t>new and related activities in Palestine</w:t>
      </w:r>
      <w:r w:rsidR="00A153C2">
        <w:rPr>
          <w:rStyle w:val="FootnoteReference"/>
          <w:lang w:val="en-US"/>
        </w:rPr>
        <w:footnoteReference w:id="1"/>
      </w:r>
      <w:r w:rsidR="00EA1088">
        <w:rPr>
          <w:lang w:val="en-US"/>
        </w:rPr>
        <w:t xml:space="preserve"> have already incorporated much of this thinking into </w:t>
      </w:r>
      <w:r w:rsidR="00B1683C">
        <w:rPr>
          <w:lang w:val="en-US"/>
        </w:rPr>
        <w:t>their</w:t>
      </w:r>
      <w:r w:rsidR="00EA1088">
        <w:rPr>
          <w:lang w:val="en-US"/>
        </w:rPr>
        <w:t xml:space="preserve"> design.</w:t>
      </w:r>
    </w:p>
    <w:p w:rsidR="00496CBA" w:rsidRPr="00FC03A7" w:rsidRDefault="00B61698" w:rsidP="00441866">
      <w:pPr>
        <w:pStyle w:val="Heading1"/>
        <w:rPr>
          <w:sz w:val="32"/>
          <w:szCs w:val="32"/>
          <w:lang w:val="en-US"/>
        </w:rPr>
      </w:pPr>
      <w:r>
        <w:rPr>
          <w:rFonts w:eastAsia="Times New Roman"/>
          <w:sz w:val="32"/>
          <w:szCs w:val="32"/>
          <w:lang w:val="en-US" w:eastAsia="ru-RU"/>
        </w:rPr>
        <w:t xml:space="preserve">AFP </w:t>
      </w:r>
      <w:r w:rsidR="00D76FC9" w:rsidRPr="00FC03A7">
        <w:rPr>
          <w:rFonts w:eastAsia="Times New Roman"/>
          <w:sz w:val="32"/>
          <w:szCs w:val="32"/>
          <w:lang w:val="en-US" w:eastAsia="ru-RU"/>
        </w:rPr>
        <w:t>Context</w:t>
      </w:r>
      <w:r w:rsidR="00087507">
        <w:rPr>
          <w:rFonts w:eastAsia="Times New Roman"/>
          <w:sz w:val="32"/>
          <w:szCs w:val="32"/>
          <w:lang w:val="en-US" w:eastAsia="ru-RU"/>
        </w:rPr>
        <w:t xml:space="preserve"> and S</w:t>
      </w:r>
      <w:r>
        <w:rPr>
          <w:rFonts w:eastAsia="Times New Roman"/>
          <w:sz w:val="32"/>
          <w:szCs w:val="32"/>
          <w:lang w:val="en-US" w:eastAsia="ru-RU"/>
        </w:rPr>
        <w:t>tructure</w:t>
      </w:r>
      <w:r w:rsidR="008A533F" w:rsidRPr="00FC03A7">
        <w:rPr>
          <w:sz w:val="32"/>
          <w:szCs w:val="32"/>
          <w:lang w:val="en-US"/>
        </w:rPr>
        <w:t xml:space="preserve"> </w:t>
      </w:r>
    </w:p>
    <w:p w:rsidR="003160C6" w:rsidRPr="00004943" w:rsidRDefault="009855E9" w:rsidP="008D5B1F">
      <w:pPr>
        <w:spacing w:line="240" w:lineRule="auto"/>
        <w:jc w:val="both"/>
        <w:rPr>
          <w:lang w:val="en-US"/>
        </w:rPr>
      </w:pPr>
      <w:r w:rsidRPr="00004943">
        <w:rPr>
          <w:lang w:val="en-US"/>
        </w:rPr>
        <w:t xml:space="preserve">Since the collapse of </w:t>
      </w:r>
      <w:r w:rsidR="00EB6EEE">
        <w:rPr>
          <w:lang w:val="en-US"/>
        </w:rPr>
        <w:t>Communism</w:t>
      </w:r>
      <w:r w:rsidRPr="00004943">
        <w:rPr>
          <w:lang w:val="en-US"/>
        </w:rPr>
        <w:t xml:space="preserve"> in Eastern Europe and the former Soviet Union, h</w:t>
      </w:r>
      <w:r w:rsidR="003160C6" w:rsidRPr="00004943">
        <w:rPr>
          <w:lang w:val="en-US"/>
        </w:rPr>
        <w:t>igher edu</w:t>
      </w:r>
      <w:r w:rsidR="00415012" w:rsidRPr="00004943">
        <w:rPr>
          <w:lang w:val="en-US"/>
        </w:rPr>
        <w:t xml:space="preserve">cation </w:t>
      </w:r>
      <w:r w:rsidRPr="00004943">
        <w:rPr>
          <w:lang w:val="en-US"/>
        </w:rPr>
        <w:t>systems have</w:t>
      </w:r>
      <w:r w:rsidR="003160C6" w:rsidRPr="00004943">
        <w:rPr>
          <w:lang w:val="en-US"/>
        </w:rPr>
        <w:t xml:space="preserve"> undergone </w:t>
      </w:r>
      <w:r w:rsidR="005332C9" w:rsidRPr="00004943">
        <w:rPr>
          <w:lang w:val="en-US"/>
        </w:rPr>
        <w:t>vast</w:t>
      </w:r>
      <w:r w:rsidR="003160C6" w:rsidRPr="00004943">
        <w:rPr>
          <w:lang w:val="en-US"/>
        </w:rPr>
        <w:t xml:space="preserve"> transformation</w:t>
      </w:r>
      <w:r w:rsidR="005332C9" w:rsidRPr="00004943">
        <w:rPr>
          <w:lang w:val="en-US"/>
        </w:rPr>
        <w:t xml:space="preserve">—albeit with significant </w:t>
      </w:r>
      <w:r w:rsidR="00CE3892" w:rsidRPr="00004943">
        <w:rPr>
          <w:lang w:val="en-US"/>
        </w:rPr>
        <w:t xml:space="preserve">variance </w:t>
      </w:r>
      <w:r w:rsidR="00FC0A0B" w:rsidRPr="00004943">
        <w:rPr>
          <w:lang w:val="en-US"/>
        </w:rPr>
        <w:t xml:space="preserve">between countries and academic </w:t>
      </w:r>
      <w:r w:rsidR="00A6477D" w:rsidRPr="00004943">
        <w:rPr>
          <w:lang w:val="en-US"/>
        </w:rPr>
        <w:t>disciplin</w:t>
      </w:r>
      <w:r w:rsidR="00FC0A0B" w:rsidRPr="00004943">
        <w:rPr>
          <w:lang w:val="en-US"/>
        </w:rPr>
        <w:t>es</w:t>
      </w:r>
      <w:r w:rsidR="003160C6" w:rsidRPr="00004943">
        <w:rPr>
          <w:lang w:val="en-US"/>
        </w:rPr>
        <w:t xml:space="preserve">. Unlike the </w:t>
      </w:r>
      <w:r w:rsidR="00415012" w:rsidRPr="00004943">
        <w:rPr>
          <w:lang w:val="en-US"/>
        </w:rPr>
        <w:t>hard</w:t>
      </w:r>
      <w:r w:rsidR="003160C6" w:rsidRPr="00004943">
        <w:rPr>
          <w:lang w:val="en-US"/>
        </w:rPr>
        <w:t xml:space="preserve"> sciences</w:t>
      </w:r>
      <w:r w:rsidR="00A6477D" w:rsidRPr="00004943">
        <w:rPr>
          <w:lang w:val="en-US"/>
        </w:rPr>
        <w:t xml:space="preserve">, which were </w:t>
      </w:r>
      <w:r w:rsidR="00324992" w:rsidRPr="00004943">
        <w:rPr>
          <w:lang w:val="en-US"/>
        </w:rPr>
        <w:t xml:space="preserve">prioritized </w:t>
      </w:r>
      <w:r w:rsidR="00F34415" w:rsidRPr="00004943">
        <w:rPr>
          <w:lang w:val="en-US"/>
        </w:rPr>
        <w:t>by</w:t>
      </w:r>
      <w:r w:rsidR="007F448C" w:rsidRPr="00004943">
        <w:rPr>
          <w:lang w:val="en-US"/>
        </w:rPr>
        <w:t xml:space="preserve"> </w:t>
      </w:r>
      <w:r w:rsidR="008141C0" w:rsidRPr="00004943">
        <w:rPr>
          <w:lang w:val="en-US"/>
        </w:rPr>
        <w:t xml:space="preserve">the </w:t>
      </w:r>
      <w:r w:rsidR="00415012" w:rsidRPr="00004943">
        <w:rPr>
          <w:lang w:val="en-US"/>
        </w:rPr>
        <w:t>former socialist states</w:t>
      </w:r>
      <w:r w:rsidR="003160C6" w:rsidRPr="00004943">
        <w:rPr>
          <w:lang w:val="en-US"/>
        </w:rPr>
        <w:t xml:space="preserve"> for </w:t>
      </w:r>
      <w:r w:rsidR="002305BD" w:rsidRPr="00004943">
        <w:rPr>
          <w:lang w:val="en-US"/>
        </w:rPr>
        <w:t>national security reasons</w:t>
      </w:r>
      <w:r w:rsidR="00F34415" w:rsidRPr="00004943">
        <w:rPr>
          <w:lang w:val="en-US"/>
        </w:rPr>
        <w:t xml:space="preserve">, </w:t>
      </w:r>
      <w:r w:rsidR="007F448C" w:rsidRPr="00004943">
        <w:rPr>
          <w:lang w:val="en-US"/>
        </w:rPr>
        <w:t xml:space="preserve">the </w:t>
      </w:r>
      <w:r w:rsidR="003160C6" w:rsidRPr="00004943">
        <w:rPr>
          <w:lang w:val="en-US"/>
        </w:rPr>
        <w:t>social sciences and humanities remained distinctly underdeveloped prior to 1989.</w:t>
      </w:r>
      <w:r w:rsidR="008C12B7" w:rsidRPr="00004943">
        <w:rPr>
          <w:lang w:val="en-US"/>
        </w:rPr>
        <w:t xml:space="preserve"> </w:t>
      </w:r>
      <w:r w:rsidR="00F34415" w:rsidRPr="00004943">
        <w:rPr>
          <w:lang w:val="en-US"/>
        </w:rPr>
        <w:t xml:space="preserve">Indeed, </w:t>
      </w:r>
      <w:r w:rsidR="00916644" w:rsidRPr="00004943">
        <w:rPr>
          <w:lang w:val="en-US"/>
        </w:rPr>
        <w:t>the</w:t>
      </w:r>
      <w:r w:rsidR="00B42B77" w:rsidRPr="00004943">
        <w:rPr>
          <w:lang w:val="en-US"/>
        </w:rPr>
        <w:t xml:space="preserve">y </w:t>
      </w:r>
      <w:r w:rsidR="003160C6" w:rsidRPr="00004943">
        <w:rPr>
          <w:lang w:val="en-US"/>
        </w:rPr>
        <w:t xml:space="preserve">were </w:t>
      </w:r>
      <w:r w:rsidR="00F34415" w:rsidRPr="00004943">
        <w:rPr>
          <w:lang w:val="en-US"/>
        </w:rPr>
        <w:t>often</w:t>
      </w:r>
      <w:r w:rsidR="003160C6" w:rsidRPr="00004943">
        <w:rPr>
          <w:lang w:val="en-US"/>
        </w:rPr>
        <w:t xml:space="preserve"> regarded as a </w:t>
      </w:r>
      <w:r w:rsidR="00974C84" w:rsidRPr="00004943">
        <w:rPr>
          <w:lang w:val="en-US"/>
        </w:rPr>
        <w:t xml:space="preserve">threat </w:t>
      </w:r>
      <w:r w:rsidR="003160C6" w:rsidRPr="00004943">
        <w:rPr>
          <w:lang w:val="en-US"/>
        </w:rPr>
        <w:t xml:space="preserve">to the </w:t>
      </w:r>
      <w:r w:rsidR="00916644" w:rsidRPr="00004943">
        <w:rPr>
          <w:lang w:val="en-US"/>
        </w:rPr>
        <w:t xml:space="preserve">absolute </w:t>
      </w:r>
      <w:r w:rsidR="003160C6" w:rsidRPr="00004943">
        <w:rPr>
          <w:lang w:val="en-US"/>
        </w:rPr>
        <w:t>truths</w:t>
      </w:r>
      <w:r w:rsidR="00974C84" w:rsidRPr="00004943">
        <w:rPr>
          <w:lang w:val="en-US"/>
        </w:rPr>
        <w:t xml:space="preserve"> </w:t>
      </w:r>
      <w:r w:rsidR="00DD283A" w:rsidRPr="00004943">
        <w:rPr>
          <w:lang w:val="en-US"/>
        </w:rPr>
        <w:t>professed by</w:t>
      </w:r>
      <w:r w:rsidR="007F448C" w:rsidRPr="00004943">
        <w:rPr>
          <w:lang w:val="en-US"/>
        </w:rPr>
        <w:t xml:space="preserve"> </w:t>
      </w:r>
      <w:r w:rsidR="006B58F4" w:rsidRPr="00004943">
        <w:rPr>
          <w:lang w:val="en-US"/>
        </w:rPr>
        <w:t>Marxism-Leninism</w:t>
      </w:r>
      <w:r w:rsidR="003160C6" w:rsidRPr="00004943">
        <w:rPr>
          <w:lang w:val="en-US"/>
        </w:rPr>
        <w:t xml:space="preserve"> rather than </w:t>
      </w:r>
      <w:r w:rsidR="007F448C" w:rsidRPr="00004943">
        <w:rPr>
          <w:lang w:val="en-US"/>
        </w:rPr>
        <w:t xml:space="preserve">as </w:t>
      </w:r>
      <w:r w:rsidR="00FC0A0B" w:rsidRPr="00004943">
        <w:rPr>
          <w:lang w:val="en-US"/>
        </w:rPr>
        <w:t>learning</w:t>
      </w:r>
      <w:r w:rsidR="00B42B77" w:rsidRPr="00004943">
        <w:rPr>
          <w:lang w:val="en-US"/>
        </w:rPr>
        <w:t xml:space="preserve"> opportunit</w:t>
      </w:r>
      <w:r w:rsidR="006B58F4" w:rsidRPr="00004943">
        <w:rPr>
          <w:lang w:val="en-US"/>
        </w:rPr>
        <w:t>ies</w:t>
      </w:r>
      <w:r w:rsidR="00B42B77" w:rsidRPr="00004943">
        <w:rPr>
          <w:lang w:val="en-US"/>
        </w:rPr>
        <w:t xml:space="preserve"> </w:t>
      </w:r>
      <w:r w:rsidR="00FC0A0B" w:rsidRPr="00004943">
        <w:rPr>
          <w:lang w:val="en-US"/>
        </w:rPr>
        <w:t xml:space="preserve">to </w:t>
      </w:r>
      <w:r w:rsidR="006B58F4" w:rsidRPr="00004943">
        <w:rPr>
          <w:lang w:val="en-US"/>
        </w:rPr>
        <w:t>address</w:t>
      </w:r>
      <w:r w:rsidR="005E0D22" w:rsidRPr="00004943">
        <w:rPr>
          <w:lang w:val="en-US"/>
        </w:rPr>
        <w:t xml:space="preserve"> social concerns</w:t>
      </w:r>
      <w:r w:rsidR="003160C6" w:rsidRPr="00004943">
        <w:rPr>
          <w:lang w:val="en-US"/>
        </w:rPr>
        <w:t xml:space="preserve">. </w:t>
      </w:r>
    </w:p>
    <w:p w:rsidR="00FD2D64" w:rsidRPr="00004943" w:rsidRDefault="00EE1631" w:rsidP="008D5B1F">
      <w:pPr>
        <w:spacing w:line="240" w:lineRule="auto"/>
        <w:jc w:val="both"/>
        <w:rPr>
          <w:lang w:val="en-US"/>
        </w:rPr>
      </w:pPr>
      <w:r w:rsidRPr="00004943">
        <w:rPr>
          <w:lang w:val="en-US"/>
        </w:rPr>
        <w:t xml:space="preserve">The </w:t>
      </w:r>
      <w:r w:rsidR="006C6775" w:rsidRPr="00004943">
        <w:rPr>
          <w:lang w:val="en-US"/>
        </w:rPr>
        <w:t xml:space="preserve">inheritance of the Old System and the </w:t>
      </w:r>
      <w:r w:rsidRPr="00004943">
        <w:rPr>
          <w:lang w:val="en-US"/>
        </w:rPr>
        <w:t>turbulent</w:t>
      </w:r>
      <w:r w:rsidR="00CE69E5" w:rsidRPr="00004943">
        <w:rPr>
          <w:lang w:val="en-US"/>
        </w:rPr>
        <w:t xml:space="preserve"> </w:t>
      </w:r>
      <w:r w:rsidRPr="00004943">
        <w:rPr>
          <w:lang w:val="en-US"/>
        </w:rPr>
        <w:t>societal transformation</w:t>
      </w:r>
      <w:r w:rsidR="004C4F58" w:rsidRPr="00004943">
        <w:rPr>
          <w:lang w:val="en-US"/>
        </w:rPr>
        <w:t xml:space="preserve"> </w:t>
      </w:r>
      <w:r w:rsidR="008C53DD" w:rsidRPr="00004943">
        <w:rPr>
          <w:lang w:val="en-US"/>
        </w:rPr>
        <w:t>of</w:t>
      </w:r>
      <w:r w:rsidR="001A1587" w:rsidRPr="00004943">
        <w:rPr>
          <w:lang w:val="en-US"/>
        </w:rPr>
        <w:t xml:space="preserve"> the early 1990s</w:t>
      </w:r>
      <w:r w:rsidR="006C6775" w:rsidRPr="00004943">
        <w:rPr>
          <w:lang w:val="en-US"/>
        </w:rPr>
        <w:t xml:space="preserve"> </w:t>
      </w:r>
      <w:r w:rsidR="006234B3" w:rsidRPr="00004943">
        <w:rPr>
          <w:lang w:val="en-US"/>
        </w:rPr>
        <w:t xml:space="preserve">contributed to </w:t>
      </w:r>
      <w:r w:rsidR="00CE69E5" w:rsidRPr="00004943">
        <w:rPr>
          <w:lang w:val="en-US"/>
        </w:rPr>
        <w:t xml:space="preserve">structural problems within </w:t>
      </w:r>
      <w:r w:rsidR="007D4432" w:rsidRPr="00004943">
        <w:rPr>
          <w:lang w:val="en-US"/>
        </w:rPr>
        <w:t xml:space="preserve">the region’s </w:t>
      </w:r>
      <w:r w:rsidR="00CE69E5" w:rsidRPr="00004943">
        <w:rPr>
          <w:lang w:val="en-US"/>
        </w:rPr>
        <w:t xml:space="preserve">universities that continue to </w:t>
      </w:r>
      <w:r w:rsidR="005953F8" w:rsidRPr="00004943">
        <w:rPr>
          <w:lang w:val="en-US"/>
        </w:rPr>
        <w:t>afflict</w:t>
      </w:r>
      <w:r w:rsidR="00CE69E5" w:rsidRPr="00004943">
        <w:rPr>
          <w:lang w:val="en-US"/>
        </w:rPr>
        <w:t xml:space="preserve"> higher education </w:t>
      </w:r>
      <w:r w:rsidR="00445F07" w:rsidRPr="00004943">
        <w:rPr>
          <w:lang w:val="en-US"/>
        </w:rPr>
        <w:t xml:space="preserve">systems </w:t>
      </w:r>
      <w:r w:rsidR="00CE69E5" w:rsidRPr="00004943">
        <w:rPr>
          <w:lang w:val="en-US"/>
        </w:rPr>
        <w:t xml:space="preserve">to </w:t>
      </w:r>
      <w:r w:rsidR="00445F07" w:rsidRPr="00004943">
        <w:rPr>
          <w:lang w:val="en-US"/>
        </w:rPr>
        <w:t xml:space="preserve">this day. </w:t>
      </w:r>
      <w:r w:rsidR="007F448C" w:rsidRPr="00004943">
        <w:rPr>
          <w:lang w:val="en-US"/>
        </w:rPr>
        <w:t xml:space="preserve">These </w:t>
      </w:r>
      <w:r w:rsidR="00445F07" w:rsidRPr="00004943">
        <w:rPr>
          <w:lang w:val="en-US"/>
        </w:rPr>
        <w:t xml:space="preserve">include </w:t>
      </w:r>
      <w:r w:rsidR="006C6775" w:rsidRPr="00004943">
        <w:rPr>
          <w:lang w:val="en-US"/>
        </w:rPr>
        <w:t xml:space="preserve">a </w:t>
      </w:r>
      <w:r w:rsidR="005953F8" w:rsidRPr="00004943">
        <w:rPr>
          <w:lang w:val="en-US"/>
        </w:rPr>
        <w:t>paucity</w:t>
      </w:r>
      <w:r w:rsidR="00445F07" w:rsidRPr="00004943">
        <w:rPr>
          <w:lang w:val="en-US"/>
        </w:rPr>
        <w:t xml:space="preserve"> of funding,</w:t>
      </w:r>
      <w:r w:rsidR="00CE69E5" w:rsidRPr="00004943">
        <w:rPr>
          <w:lang w:val="en-US"/>
        </w:rPr>
        <w:t xml:space="preserve"> </w:t>
      </w:r>
      <w:r w:rsidR="005953F8" w:rsidRPr="00004943">
        <w:rPr>
          <w:lang w:val="en-US"/>
        </w:rPr>
        <w:t>outdated</w:t>
      </w:r>
      <w:r w:rsidR="00CE69E5" w:rsidRPr="00004943">
        <w:rPr>
          <w:lang w:val="en-US"/>
        </w:rPr>
        <w:t xml:space="preserve"> education</w:t>
      </w:r>
      <w:r w:rsidR="005953F8" w:rsidRPr="00004943">
        <w:rPr>
          <w:lang w:val="en-US"/>
        </w:rPr>
        <w:t xml:space="preserve"> and management</w:t>
      </w:r>
      <w:r w:rsidR="00CE69E5" w:rsidRPr="00004943">
        <w:rPr>
          <w:lang w:val="en-US"/>
        </w:rPr>
        <w:t xml:space="preserve"> </w:t>
      </w:r>
      <w:r w:rsidR="007F448C" w:rsidRPr="00004943">
        <w:rPr>
          <w:lang w:val="en-US"/>
        </w:rPr>
        <w:t>policies</w:t>
      </w:r>
      <w:r w:rsidR="00445F07" w:rsidRPr="00004943">
        <w:rPr>
          <w:lang w:val="en-US"/>
        </w:rPr>
        <w:t>,</w:t>
      </w:r>
      <w:r w:rsidR="00CE69E5" w:rsidRPr="00004943">
        <w:rPr>
          <w:lang w:val="en-US"/>
        </w:rPr>
        <w:t xml:space="preserve"> reliance on </w:t>
      </w:r>
      <w:r w:rsidR="00BB111E" w:rsidRPr="00004943">
        <w:rPr>
          <w:lang w:val="en-US"/>
        </w:rPr>
        <w:t>passive</w:t>
      </w:r>
      <w:r w:rsidR="00CE69E5" w:rsidRPr="00004943">
        <w:rPr>
          <w:lang w:val="en-US"/>
        </w:rPr>
        <w:t xml:space="preserve"> learning</w:t>
      </w:r>
      <w:r w:rsidR="00445F07" w:rsidRPr="00004943">
        <w:rPr>
          <w:lang w:val="en-US"/>
        </w:rPr>
        <w:t>,</w:t>
      </w:r>
      <w:r w:rsidR="00CE69E5" w:rsidRPr="00004943">
        <w:rPr>
          <w:lang w:val="en-US"/>
        </w:rPr>
        <w:t xml:space="preserve"> isolation from </w:t>
      </w:r>
      <w:r w:rsidR="00BB111E" w:rsidRPr="00004943">
        <w:rPr>
          <w:lang w:val="en-US"/>
        </w:rPr>
        <w:t xml:space="preserve">the international academic </w:t>
      </w:r>
      <w:r w:rsidR="002E3143" w:rsidRPr="00004943">
        <w:rPr>
          <w:lang w:val="en-US"/>
        </w:rPr>
        <w:t>mainstream</w:t>
      </w:r>
      <w:r w:rsidR="00BB111E" w:rsidRPr="00004943">
        <w:rPr>
          <w:lang w:val="en-US"/>
        </w:rPr>
        <w:t>,</w:t>
      </w:r>
      <w:r w:rsidR="00CE69E5" w:rsidRPr="00004943">
        <w:rPr>
          <w:lang w:val="en-US"/>
        </w:rPr>
        <w:t xml:space="preserve"> </w:t>
      </w:r>
      <w:r w:rsidR="00031832" w:rsidRPr="00004943">
        <w:rPr>
          <w:lang w:val="en-US"/>
        </w:rPr>
        <w:t xml:space="preserve">decrepit </w:t>
      </w:r>
      <w:r w:rsidR="00A9364B" w:rsidRPr="00004943">
        <w:rPr>
          <w:lang w:val="en-US"/>
        </w:rPr>
        <w:t xml:space="preserve">academic </w:t>
      </w:r>
      <w:r w:rsidR="00031832" w:rsidRPr="00004943">
        <w:rPr>
          <w:lang w:val="en-US"/>
        </w:rPr>
        <w:t>infrastructure</w:t>
      </w:r>
      <w:r w:rsidR="00A9364B" w:rsidRPr="00004943">
        <w:rPr>
          <w:lang w:val="en-US"/>
        </w:rPr>
        <w:t xml:space="preserve">, </w:t>
      </w:r>
      <w:r w:rsidR="00CE69E5" w:rsidRPr="00004943">
        <w:rPr>
          <w:lang w:val="en-US"/>
        </w:rPr>
        <w:t>and systemic corrupti</w:t>
      </w:r>
      <w:r w:rsidR="00FD2D64" w:rsidRPr="00004943">
        <w:rPr>
          <w:lang w:val="en-US"/>
        </w:rPr>
        <w:t>on.</w:t>
      </w:r>
    </w:p>
    <w:p w:rsidR="004270FB" w:rsidRDefault="001E3C52" w:rsidP="00F615BB">
      <w:pPr>
        <w:spacing w:line="240" w:lineRule="auto"/>
        <w:jc w:val="both"/>
        <w:rPr>
          <w:lang w:val="en-US"/>
        </w:rPr>
      </w:pPr>
      <w:r w:rsidRPr="005363F5">
        <w:rPr>
          <w:lang w:val="en-US"/>
        </w:rPr>
        <w:lastRenderedPageBreak/>
        <w:t xml:space="preserve">In the early 2000s HESP was </w:t>
      </w:r>
      <w:r w:rsidR="006B0A74" w:rsidRPr="005363F5">
        <w:rPr>
          <w:lang w:val="en-US"/>
        </w:rPr>
        <w:t xml:space="preserve">providing start-up grants and institutional </w:t>
      </w:r>
      <w:r w:rsidR="00BE61EC" w:rsidRPr="005363F5">
        <w:rPr>
          <w:lang w:val="en-US"/>
        </w:rPr>
        <w:t>support</w:t>
      </w:r>
      <w:r w:rsidRPr="005363F5">
        <w:rPr>
          <w:lang w:val="en-US"/>
        </w:rPr>
        <w:t xml:space="preserve"> </w:t>
      </w:r>
      <w:r w:rsidR="006B0A74" w:rsidRPr="005363F5">
        <w:rPr>
          <w:lang w:val="en-US"/>
        </w:rPr>
        <w:t>to</w:t>
      </w:r>
      <w:r w:rsidR="00660AE5" w:rsidRPr="005363F5">
        <w:rPr>
          <w:lang w:val="en-US"/>
        </w:rPr>
        <w:t xml:space="preserve"> a </w:t>
      </w:r>
      <w:r w:rsidR="00E01E7F" w:rsidRPr="005363F5">
        <w:rPr>
          <w:lang w:val="en-US"/>
        </w:rPr>
        <w:t xml:space="preserve">host </w:t>
      </w:r>
      <w:r w:rsidR="00660AE5" w:rsidRPr="005363F5">
        <w:rPr>
          <w:lang w:val="en-US"/>
        </w:rPr>
        <w:t>of</w:t>
      </w:r>
      <w:r w:rsidR="00D6641D" w:rsidRPr="005363F5">
        <w:rPr>
          <w:lang w:val="en-US"/>
        </w:rPr>
        <w:t xml:space="preserve"> </w:t>
      </w:r>
      <w:r w:rsidRPr="005363F5">
        <w:rPr>
          <w:lang w:val="en-US"/>
        </w:rPr>
        <w:t>liberal arts colleges and universities</w:t>
      </w:r>
      <w:r w:rsidR="00660AE5" w:rsidRPr="005363F5">
        <w:rPr>
          <w:lang w:val="en-US"/>
        </w:rPr>
        <w:t xml:space="preserve"> across the region</w:t>
      </w:r>
      <w:r w:rsidRPr="005363F5">
        <w:rPr>
          <w:lang w:val="en-US"/>
        </w:rPr>
        <w:t xml:space="preserve">. </w:t>
      </w:r>
      <w:r w:rsidR="00660AE5" w:rsidRPr="005363F5">
        <w:rPr>
          <w:lang w:val="en-US"/>
        </w:rPr>
        <w:t>Recognizing</w:t>
      </w:r>
      <w:r w:rsidR="00D6641D" w:rsidRPr="005363F5">
        <w:rPr>
          <w:lang w:val="en-US"/>
        </w:rPr>
        <w:t xml:space="preserve">, however, </w:t>
      </w:r>
      <w:r w:rsidRPr="005363F5">
        <w:rPr>
          <w:lang w:val="en-US"/>
        </w:rPr>
        <w:t xml:space="preserve">that </w:t>
      </w:r>
      <w:r w:rsidR="00660AE5" w:rsidRPr="005363F5">
        <w:rPr>
          <w:lang w:val="en-US"/>
        </w:rPr>
        <w:t>private institutions</w:t>
      </w:r>
      <w:r w:rsidRPr="005363F5">
        <w:rPr>
          <w:lang w:val="en-US"/>
        </w:rPr>
        <w:t xml:space="preserve"> </w:t>
      </w:r>
      <w:r w:rsidR="00D6641D" w:rsidRPr="005363F5">
        <w:rPr>
          <w:lang w:val="en-US"/>
        </w:rPr>
        <w:t xml:space="preserve">only partially addressed the above-listed challenges, </w:t>
      </w:r>
      <w:r w:rsidR="00A05F3E" w:rsidRPr="005363F5">
        <w:rPr>
          <w:lang w:val="en-US"/>
        </w:rPr>
        <w:t xml:space="preserve">in 2004 </w:t>
      </w:r>
      <w:r w:rsidRPr="005363F5">
        <w:rPr>
          <w:lang w:val="en-US"/>
        </w:rPr>
        <w:t xml:space="preserve">it </w:t>
      </w:r>
      <w:r w:rsidR="00D6641D" w:rsidRPr="005363F5">
        <w:rPr>
          <w:lang w:val="en-US"/>
        </w:rPr>
        <w:t xml:space="preserve">also </w:t>
      </w:r>
      <w:r w:rsidRPr="005363F5">
        <w:rPr>
          <w:lang w:val="en-US"/>
        </w:rPr>
        <w:t xml:space="preserve">took on </w:t>
      </w:r>
      <w:r w:rsidR="00DA2B2D" w:rsidRPr="005363F5">
        <w:rPr>
          <w:lang w:val="en-US"/>
        </w:rPr>
        <w:t>portions of</w:t>
      </w:r>
      <w:r w:rsidRPr="005363F5">
        <w:rPr>
          <w:lang w:val="en-US"/>
        </w:rPr>
        <w:t xml:space="preserve"> </w:t>
      </w:r>
      <w:r w:rsidR="007678FF" w:rsidRPr="005363F5">
        <w:rPr>
          <w:lang w:val="en-US"/>
        </w:rPr>
        <w:t>the Civic Education Project</w:t>
      </w:r>
      <w:r w:rsidRPr="005363F5">
        <w:rPr>
          <w:lang w:val="en-US"/>
        </w:rPr>
        <w:t xml:space="preserve"> agenda </w:t>
      </w:r>
      <w:r w:rsidR="007678FF" w:rsidRPr="005363F5">
        <w:rPr>
          <w:lang w:val="en-US"/>
        </w:rPr>
        <w:t xml:space="preserve">to </w:t>
      </w:r>
      <w:r w:rsidRPr="005363F5">
        <w:rPr>
          <w:lang w:val="en-US"/>
        </w:rPr>
        <w:t xml:space="preserve">assist reform-minded </w:t>
      </w:r>
      <w:r w:rsidR="00DA2B2D" w:rsidRPr="005363F5">
        <w:rPr>
          <w:lang w:val="en-US"/>
        </w:rPr>
        <w:t>so</w:t>
      </w:r>
      <w:r w:rsidR="00660AE5" w:rsidRPr="005363F5">
        <w:rPr>
          <w:lang w:val="en-US"/>
        </w:rPr>
        <w:t>cial sciences</w:t>
      </w:r>
      <w:r w:rsidR="00DA2B2D" w:rsidRPr="005363F5">
        <w:rPr>
          <w:lang w:val="en-US"/>
        </w:rPr>
        <w:t xml:space="preserve"> and </w:t>
      </w:r>
      <w:r w:rsidRPr="005363F5">
        <w:rPr>
          <w:lang w:val="en-US"/>
        </w:rPr>
        <w:t>humanities department</w:t>
      </w:r>
      <w:r w:rsidR="007678FF" w:rsidRPr="005363F5">
        <w:rPr>
          <w:lang w:val="en-US"/>
        </w:rPr>
        <w:t>s at public universities to become</w:t>
      </w:r>
      <w:r w:rsidR="001815B7">
        <w:rPr>
          <w:lang w:val="en-US"/>
        </w:rPr>
        <w:t xml:space="preserve"> models of innovation</w:t>
      </w:r>
      <w:r w:rsidR="007678FF" w:rsidRPr="005363F5">
        <w:rPr>
          <w:lang w:val="en-US"/>
        </w:rPr>
        <w:t>.</w:t>
      </w:r>
      <w:r w:rsidR="007678FF">
        <w:rPr>
          <w:lang w:val="en-US"/>
        </w:rPr>
        <w:t xml:space="preserve"> </w:t>
      </w:r>
      <w:r w:rsidR="00A24C4E" w:rsidRPr="0098640B">
        <w:rPr>
          <w:lang w:val="en-US"/>
        </w:rPr>
        <w:t xml:space="preserve">To </w:t>
      </w:r>
      <w:r w:rsidR="00F37E85" w:rsidRPr="0098640B">
        <w:rPr>
          <w:lang w:val="en-US"/>
        </w:rPr>
        <w:t>do so</w:t>
      </w:r>
      <w:r w:rsidR="00A24C4E" w:rsidRPr="0098640B">
        <w:rPr>
          <w:lang w:val="en-US"/>
        </w:rPr>
        <w:t xml:space="preserve">, </w:t>
      </w:r>
      <w:r w:rsidR="00B02DDC" w:rsidRPr="0098640B">
        <w:rPr>
          <w:lang w:val="en-US"/>
        </w:rPr>
        <w:t>it</w:t>
      </w:r>
      <w:r w:rsidR="007F448C" w:rsidRPr="0098640B">
        <w:rPr>
          <w:lang w:val="en-US"/>
        </w:rPr>
        <w:t xml:space="preserve"> </w:t>
      </w:r>
      <w:r w:rsidR="0035252A" w:rsidRPr="0098640B">
        <w:rPr>
          <w:lang w:val="en-US"/>
        </w:rPr>
        <w:t>spearheaded the</w:t>
      </w:r>
      <w:r w:rsidR="00F37E85" w:rsidRPr="0098640B">
        <w:rPr>
          <w:lang w:val="en-US"/>
        </w:rPr>
        <w:t xml:space="preserve"> </w:t>
      </w:r>
      <w:r w:rsidR="0012734A" w:rsidRPr="0098640B">
        <w:rPr>
          <w:lang w:val="en-US"/>
        </w:rPr>
        <w:t xml:space="preserve">strategic </w:t>
      </w:r>
      <w:r w:rsidR="00FC03A7">
        <w:rPr>
          <w:lang w:val="en-US"/>
        </w:rPr>
        <w:t xml:space="preserve">involvement </w:t>
      </w:r>
      <w:r w:rsidR="00744155" w:rsidRPr="0098640B">
        <w:rPr>
          <w:lang w:val="en-US"/>
        </w:rPr>
        <w:t xml:space="preserve">of </w:t>
      </w:r>
      <w:r w:rsidR="00C101FB">
        <w:rPr>
          <w:lang w:val="en-US"/>
        </w:rPr>
        <w:t>Western-educated</w:t>
      </w:r>
      <w:r w:rsidR="00C101FB" w:rsidRPr="0098640B">
        <w:rPr>
          <w:lang w:val="en-US"/>
        </w:rPr>
        <w:t xml:space="preserve"> </w:t>
      </w:r>
      <w:r w:rsidR="00744155" w:rsidRPr="0098640B">
        <w:rPr>
          <w:lang w:val="en-US"/>
        </w:rPr>
        <w:t>scholars</w:t>
      </w:r>
      <w:r w:rsidR="0012734A" w:rsidRPr="0098640B">
        <w:rPr>
          <w:lang w:val="en-US"/>
        </w:rPr>
        <w:t xml:space="preserve"> </w:t>
      </w:r>
      <w:r w:rsidR="00F37E85" w:rsidRPr="0098640B">
        <w:rPr>
          <w:lang w:val="en-US"/>
        </w:rPr>
        <w:t>within</w:t>
      </w:r>
      <w:r w:rsidR="0012734A" w:rsidRPr="0098640B">
        <w:rPr>
          <w:lang w:val="en-US"/>
        </w:rPr>
        <w:t xml:space="preserve"> these departments</w:t>
      </w:r>
      <w:r w:rsidR="007F448C" w:rsidRPr="0098640B">
        <w:rPr>
          <w:lang w:val="en-US"/>
        </w:rPr>
        <w:t>,</w:t>
      </w:r>
      <w:r w:rsidR="0012734A" w:rsidRPr="0098640B">
        <w:rPr>
          <w:lang w:val="en-US"/>
        </w:rPr>
        <w:t xml:space="preserve"> and</w:t>
      </w:r>
      <w:r w:rsidR="007F448C" w:rsidRPr="0098640B">
        <w:rPr>
          <w:lang w:val="en-US"/>
        </w:rPr>
        <w:t xml:space="preserve"> </w:t>
      </w:r>
      <w:r w:rsidR="00F615BB" w:rsidRPr="0098640B">
        <w:rPr>
          <w:lang w:val="en-US"/>
        </w:rPr>
        <w:t>made</w:t>
      </w:r>
      <w:r w:rsidR="00EF01E9">
        <w:rPr>
          <w:lang w:val="en-US"/>
        </w:rPr>
        <w:t xml:space="preserve"> mentorship and</w:t>
      </w:r>
      <w:r w:rsidR="00F615BB" w:rsidRPr="0098640B">
        <w:rPr>
          <w:lang w:val="en-US"/>
        </w:rPr>
        <w:t xml:space="preserve"> supplementary resources </w:t>
      </w:r>
      <w:r w:rsidR="00C24446" w:rsidRPr="0098640B">
        <w:rPr>
          <w:lang w:val="en-US"/>
        </w:rPr>
        <w:t xml:space="preserve">available to them </w:t>
      </w:r>
      <w:r w:rsidR="00F615BB" w:rsidRPr="0098640B">
        <w:rPr>
          <w:lang w:val="en-US"/>
        </w:rPr>
        <w:t xml:space="preserve">to aid </w:t>
      </w:r>
      <w:r w:rsidR="00B9264C" w:rsidRPr="0098640B">
        <w:rPr>
          <w:lang w:val="en-US"/>
        </w:rPr>
        <w:t>the</w:t>
      </w:r>
      <w:r w:rsidR="00E57806">
        <w:rPr>
          <w:lang w:val="en-US"/>
        </w:rPr>
        <w:t>ir</w:t>
      </w:r>
      <w:r w:rsidR="00F615BB" w:rsidRPr="0098640B">
        <w:rPr>
          <w:lang w:val="en-US"/>
        </w:rPr>
        <w:t xml:space="preserve"> p</w:t>
      </w:r>
      <w:r w:rsidR="0012734A" w:rsidRPr="0098640B">
        <w:rPr>
          <w:lang w:val="en-US"/>
        </w:rPr>
        <w:t>rofessional development</w:t>
      </w:r>
      <w:r w:rsidR="00B9264C" w:rsidRPr="0098640B">
        <w:rPr>
          <w:lang w:val="en-US"/>
        </w:rPr>
        <w:t xml:space="preserve"> and transformation</w:t>
      </w:r>
      <w:r w:rsidR="00CE3892" w:rsidRPr="0098640B">
        <w:rPr>
          <w:lang w:val="en-US"/>
        </w:rPr>
        <w:t xml:space="preserve">. </w:t>
      </w:r>
      <w:r w:rsidR="00BF3A13" w:rsidRPr="0098640B">
        <w:rPr>
          <w:lang w:val="en-US"/>
        </w:rPr>
        <w:t>B</w:t>
      </w:r>
      <w:r w:rsidR="00B9264C" w:rsidRPr="0098640B">
        <w:rPr>
          <w:lang w:val="en-US"/>
        </w:rPr>
        <w:t xml:space="preserve">y </w:t>
      </w:r>
      <w:r w:rsidR="00C06E43" w:rsidRPr="0098640B">
        <w:rPr>
          <w:lang w:val="en-US"/>
        </w:rPr>
        <w:t>facilitating</w:t>
      </w:r>
      <w:r w:rsidR="005047C8" w:rsidRPr="0098640B">
        <w:rPr>
          <w:lang w:val="en-US"/>
        </w:rPr>
        <w:t xml:space="preserve"> the</w:t>
      </w:r>
      <w:r w:rsidR="00483033" w:rsidRPr="0098640B">
        <w:rPr>
          <w:lang w:val="en-US"/>
        </w:rPr>
        <w:t xml:space="preserve"> return, retention, and development</w:t>
      </w:r>
      <w:r w:rsidR="004270FB" w:rsidRPr="0098640B">
        <w:rPr>
          <w:lang w:val="en-US"/>
        </w:rPr>
        <w:t xml:space="preserve"> of </w:t>
      </w:r>
      <w:r w:rsidR="0016555D" w:rsidRPr="0098640B">
        <w:rPr>
          <w:lang w:val="en-US"/>
        </w:rPr>
        <w:t>W</w:t>
      </w:r>
      <w:r w:rsidR="004270FB" w:rsidRPr="0098640B">
        <w:rPr>
          <w:lang w:val="en-US"/>
        </w:rPr>
        <w:t>estern-educated academics</w:t>
      </w:r>
      <w:r w:rsidR="00C06E43" w:rsidRPr="0098640B">
        <w:rPr>
          <w:lang w:val="en-US"/>
        </w:rPr>
        <w:t>—</w:t>
      </w:r>
      <w:r w:rsidR="00115854" w:rsidRPr="0098640B">
        <w:rPr>
          <w:lang w:val="en-US"/>
        </w:rPr>
        <w:t>so-</w:t>
      </w:r>
      <w:r w:rsidR="00C06E43" w:rsidRPr="0098640B">
        <w:rPr>
          <w:lang w:val="en-US"/>
        </w:rPr>
        <w:t xml:space="preserve">called </w:t>
      </w:r>
      <w:r w:rsidR="00115854" w:rsidRPr="0098640B">
        <w:rPr>
          <w:lang w:val="en-US"/>
        </w:rPr>
        <w:t>‘</w:t>
      </w:r>
      <w:r w:rsidR="00C06E43" w:rsidRPr="0098640B">
        <w:rPr>
          <w:lang w:val="en-US"/>
        </w:rPr>
        <w:t>Returning Scholars</w:t>
      </w:r>
      <w:r w:rsidR="00115854" w:rsidRPr="0098640B">
        <w:rPr>
          <w:lang w:val="en-US"/>
        </w:rPr>
        <w:t>’</w:t>
      </w:r>
      <w:r w:rsidR="00C06E43" w:rsidRPr="0098640B">
        <w:rPr>
          <w:lang w:val="en-US"/>
        </w:rPr>
        <w:t>—</w:t>
      </w:r>
      <w:r w:rsidR="005047C8" w:rsidRPr="0098640B">
        <w:rPr>
          <w:lang w:val="en-US"/>
        </w:rPr>
        <w:t>to</w:t>
      </w:r>
      <w:r w:rsidR="00751B1C" w:rsidRPr="0098640B">
        <w:rPr>
          <w:lang w:val="en-US"/>
        </w:rPr>
        <w:t xml:space="preserve"> their </w:t>
      </w:r>
      <w:r w:rsidR="002E01E5" w:rsidRPr="0098640B">
        <w:rPr>
          <w:lang w:val="en-US"/>
        </w:rPr>
        <w:t>home count</w:t>
      </w:r>
      <w:r w:rsidR="008F36FB" w:rsidRPr="0098640B">
        <w:rPr>
          <w:lang w:val="en-US"/>
        </w:rPr>
        <w:t>r</w:t>
      </w:r>
      <w:r w:rsidR="002E01E5" w:rsidRPr="0098640B">
        <w:rPr>
          <w:lang w:val="en-US"/>
        </w:rPr>
        <w:t>i</w:t>
      </w:r>
      <w:r w:rsidR="008F36FB" w:rsidRPr="0098640B">
        <w:rPr>
          <w:lang w:val="en-US"/>
        </w:rPr>
        <w:t>es</w:t>
      </w:r>
      <w:r w:rsidR="004270FB" w:rsidRPr="0098640B">
        <w:rPr>
          <w:lang w:val="en-US"/>
        </w:rPr>
        <w:t xml:space="preserve">, </w:t>
      </w:r>
      <w:r w:rsidR="00710F98" w:rsidRPr="0098640B">
        <w:rPr>
          <w:lang w:val="en-US"/>
        </w:rPr>
        <w:t xml:space="preserve">AFP </w:t>
      </w:r>
      <w:r w:rsidR="00E57806">
        <w:rPr>
          <w:lang w:val="en-US"/>
        </w:rPr>
        <w:t xml:space="preserve">has </w:t>
      </w:r>
      <w:r w:rsidR="00710F98" w:rsidRPr="0098640B">
        <w:rPr>
          <w:lang w:val="en-US"/>
        </w:rPr>
        <w:t>aspire</w:t>
      </w:r>
      <w:r w:rsidR="00E57806">
        <w:rPr>
          <w:lang w:val="en-US"/>
        </w:rPr>
        <w:t>d</w:t>
      </w:r>
      <w:r w:rsidR="00C06E43" w:rsidRPr="0098640B">
        <w:rPr>
          <w:lang w:val="en-US"/>
        </w:rPr>
        <w:t xml:space="preserve"> to</w:t>
      </w:r>
      <w:r w:rsidR="004270FB" w:rsidRPr="0098640B">
        <w:rPr>
          <w:lang w:val="en-US"/>
        </w:rPr>
        <w:t xml:space="preserve"> </w:t>
      </w:r>
      <w:r w:rsidR="00D571C6">
        <w:rPr>
          <w:lang w:val="en-US"/>
        </w:rPr>
        <w:t>bring about</w:t>
      </w:r>
      <w:r w:rsidR="004270FB" w:rsidRPr="0098640B">
        <w:rPr>
          <w:lang w:val="en-US"/>
        </w:rPr>
        <w:t xml:space="preserve"> systemic, lasting changes </w:t>
      </w:r>
      <w:r w:rsidR="005047C8" w:rsidRPr="0098640B">
        <w:rPr>
          <w:lang w:val="en-US"/>
        </w:rPr>
        <w:t>within</w:t>
      </w:r>
      <w:r w:rsidR="004270FB" w:rsidRPr="0098640B">
        <w:rPr>
          <w:lang w:val="en-US"/>
        </w:rPr>
        <w:t xml:space="preserve"> targeted </w:t>
      </w:r>
      <w:r w:rsidR="00E57806">
        <w:rPr>
          <w:lang w:val="en-US"/>
        </w:rPr>
        <w:t xml:space="preserve">university </w:t>
      </w:r>
      <w:r w:rsidR="004270FB" w:rsidRPr="0098640B">
        <w:rPr>
          <w:lang w:val="en-US"/>
        </w:rPr>
        <w:t xml:space="preserve">departments. </w:t>
      </w:r>
      <w:r w:rsidR="000E6ED9" w:rsidRPr="0098640B">
        <w:rPr>
          <w:lang w:val="en-US"/>
        </w:rPr>
        <w:t>Moreover, through t</w:t>
      </w:r>
      <w:r w:rsidR="004270FB" w:rsidRPr="0098640B">
        <w:rPr>
          <w:lang w:val="en-US"/>
        </w:rPr>
        <w:t>h</w:t>
      </w:r>
      <w:r w:rsidR="000E6ED9" w:rsidRPr="0098640B">
        <w:rPr>
          <w:lang w:val="en-US"/>
        </w:rPr>
        <w:t>is</w:t>
      </w:r>
      <w:r w:rsidR="004270FB" w:rsidRPr="0098640B">
        <w:rPr>
          <w:lang w:val="en-US"/>
        </w:rPr>
        <w:t xml:space="preserve"> bottom-up approach</w:t>
      </w:r>
      <w:r w:rsidR="000E6ED9" w:rsidRPr="0098640B">
        <w:rPr>
          <w:lang w:val="en-US"/>
        </w:rPr>
        <w:t xml:space="preserve"> </w:t>
      </w:r>
      <w:r w:rsidR="00997240" w:rsidRPr="0098640B">
        <w:rPr>
          <w:lang w:val="en-US"/>
        </w:rPr>
        <w:t xml:space="preserve">AFP </w:t>
      </w:r>
      <w:r w:rsidR="00630F3E">
        <w:rPr>
          <w:lang w:val="en-US"/>
        </w:rPr>
        <w:t>has sought</w:t>
      </w:r>
      <w:r w:rsidR="000E6ED9" w:rsidRPr="0098640B">
        <w:rPr>
          <w:lang w:val="en-US"/>
        </w:rPr>
        <w:t xml:space="preserve"> to </w:t>
      </w:r>
      <w:r w:rsidR="00115854" w:rsidRPr="0098640B">
        <w:rPr>
          <w:lang w:val="en-US"/>
        </w:rPr>
        <w:t>position</w:t>
      </w:r>
      <w:r w:rsidR="00997240" w:rsidRPr="0098640B">
        <w:rPr>
          <w:lang w:val="en-US"/>
        </w:rPr>
        <w:t xml:space="preserve"> the Returning Scholars to act as broader change agents within their </w:t>
      </w:r>
      <w:r w:rsidR="00647140" w:rsidRPr="0098640B">
        <w:rPr>
          <w:lang w:val="en-US"/>
        </w:rPr>
        <w:t xml:space="preserve">university </w:t>
      </w:r>
      <w:r w:rsidR="00682938">
        <w:rPr>
          <w:lang w:val="en-US"/>
        </w:rPr>
        <w:t xml:space="preserve">systems by </w:t>
      </w:r>
      <w:r w:rsidR="001E674A">
        <w:rPr>
          <w:lang w:val="en-US"/>
        </w:rPr>
        <w:t>turning their departments into models for others to emulate</w:t>
      </w:r>
      <w:r w:rsidR="004270FB" w:rsidRPr="0098640B">
        <w:rPr>
          <w:lang w:val="en-US"/>
        </w:rPr>
        <w:t xml:space="preserve">.   </w:t>
      </w:r>
    </w:p>
    <w:p w:rsidR="00B11549" w:rsidRPr="0098640B" w:rsidRDefault="00B11549" w:rsidP="00ED7A29">
      <w:pPr>
        <w:spacing w:line="240" w:lineRule="auto"/>
        <w:jc w:val="both"/>
        <w:rPr>
          <w:lang w:val="en-US"/>
        </w:rPr>
      </w:pPr>
      <w:r>
        <w:rPr>
          <w:lang w:val="en-US"/>
        </w:rPr>
        <w:t xml:space="preserve">Through enhancing the quality of teaching and research specifically in the social sciences and humanities, AFP has directly contributed to educating a new generation of critical and informed citizens. Academic and outreach activities of AFP Returning Scholars have focused on issues of immediate relevance to the broader OSF mission and values, such as </w:t>
      </w:r>
      <w:r w:rsidRPr="00842E26">
        <w:rPr>
          <w:lang w:val="en-US"/>
        </w:rPr>
        <w:t xml:space="preserve">critical thinking, democratic citizenship, </w:t>
      </w:r>
      <w:r w:rsidRPr="003D0DB2">
        <w:rPr>
          <w:lang w:val="en-US"/>
        </w:rPr>
        <w:t xml:space="preserve">pluralism, </w:t>
      </w:r>
      <w:r>
        <w:rPr>
          <w:lang w:val="en-US"/>
        </w:rPr>
        <w:t xml:space="preserve">civil society, inclusion, respect for </w:t>
      </w:r>
      <w:r w:rsidRPr="003D0DB2">
        <w:rPr>
          <w:lang w:val="en-US"/>
        </w:rPr>
        <w:t>human rights,</w:t>
      </w:r>
      <w:r>
        <w:rPr>
          <w:lang w:val="en-US"/>
        </w:rPr>
        <w:t xml:space="preserve"> accountable government, and freedom of speech. In </w:t>
      </w:r>
      <w:r w:rsidR="00B61698">
        <w:rPr>
          <w:lang w:val="en-US"/>
        </w:rPr>
        <w:t xml:space="preserve">its holistic approach to encompass all </w:t>
      </w:r>
      <w:r>
        <w:rPr>
          <w:lang w:val="en-US"/>
        </w:rPr>
        <w:t>OSF values, AFP has not prioritized some social science disciplines over others</w:t>
      </w:r>
      <w:r w:rsidR="00B61698">
        <w:rPr>
          <w:lang w:val="en-US"/>
        </w:rPr>
        <w:t>.</w:t>
      </w:r>
      <w:r>
        <w:rPr>
          <w:lang w:val="en-US"/>
        </w:rPr>
        <w:t xml:space="preserve"> </w:t>
      </w:r>
      <w:r w:rsidR="00B61698">
        <w:rPr>
          <w:lang w:val="en-US"/>
        </w:rPr>
        <w:t>T</w:t>
      </w:r>
      <w:r>
        <w:rPr>
          <w:lang w:val="en-US"/>
        </w:rPr>
        <w:t xml:space="preserve">he program has based its selection decisions on the quality and development potential of </w:t>
      </w:r>
      <w:r w:rsidR="00B61698">
        <w:rPr>
          <w:lang w:val="en-US"/>
        </w:rPr>
        <w:t xml:space="preserve">aspiring </w:t>
      </w:r>
      <w:r>
        <w:rPr>
          <w:lang w:val="en-US"/>
        </w:rPr>
        <w:t xml:space="preserve">departments.  </w:t>
      </w:r>
    </w:p>
    <w:p w:rsidR="00A809B8" w:rsidRPr="0098640B" w:rsidRDefault="001114B8" w:rsidP="00791A29">
      <w:pPr>
        <w:pStyle w:val="ListParagraph"/>
        <w:spacing w:line="240" w:lineRule="auto"/>
        <w:ind w:left="0"/>
        <w:contextualSpacing w:val="0"/>
        <w:jc w:val="both"/>
        <w:rPr>
          <w:lang w:val="en-US"/>
        </w:rPr>
      </w:pPr>
      <w:r w:rsidRPr="0098640B">
        <w:rPr>
          <w:lang w:val="en-US"/>
        </w:rPr>
        <w:t>Since its inception</w:t>
      </w:r>
      <w:r w:rsidR="0014678A">
        <w:rPr>
          <w:lang w:val="en-US"/>
        </w:rPr>
        <w:t>,</w:t>
      </w:r>
      <w:r w:rsidR="00BB6676" w:rsidRPr="0098640B">
        <w:rPr>
          <w:lang w:val="en-US"/>
        </w:rPr>
        <w:t xml:space="preserve"> </w:t>
      </w:r>
      <w:r w:rsidR="00362B98" w:rsidRPr="0098640B">
        <w:rPr>
          <w:lang w:val="en-US"/>
        </w:rPr>
        <w:t xml:space="preserve">AFP </w:t>
      </w:r>
      <w:r w:rsidR="00BB6676" w:rsidRPr="0098640B">
        <w:rPr>
          <w:lang w:val="en-US"/>
        </w:rPr>
        <w:t xml:space="preserve">has supported </w:t>
      </w:r>
      <w:r w:rsidR="00145E07" w:rsidRPr="0098640B">
        <w:rPr>
          <w:lang w:val="en-US"/>
        </w:rPr>
        <w:t>496</w:t>
      </w:r>
      <w:r w:rsidR="00362B98" w:rsidRPr="0098640B">
        <w:rPr>
          <w:lang w:val="en-US"/>
        </w:rPr>
        <w:t xml:space="preserve"> </w:t>
      </w:r>
      <w:r w:rsidR="00BB6676" w:rsidRPr="0098640B">
        <w:rPr>
          <w:lang w:val="en-US"/>
        </w:rPr>
        <w:t>R</w:t>
      </w:r>
      <w:r w:rsidRPr="0098640B">
        <w:rPr>
          <w:lang w:val="en-US"/>
        </w:rPr>
        <w:t>eturning Scholars</w:t>
      </w:r>
      <w:r w:rsidR="00BB6676" w:rsidRPr="0098640B">
        <w:rPr>
          <w:lang w:val="en-US"/>
        </w:rPr>
        <w:t xml:space="preserve"> </w:t>
      </w:r>
      <w:r w:rsidRPr="0098640B">
        <w:rPr>
          <w:lang w:val="en-US"/>
        </w:rPr>
        <w:t>in</w:t>
      </w:r>
      <w:r w:rsidR="00BB6676" w:rsidRPr="0098640B">
        <w:rPr>
          <w:lang w:val="en-US"/>
        </w:rPr>
        <w:t xml:space="preserve"> 9</w:t>
      </w:r>
      <w:r w:rsidR="00362B98" w:rsidRPr="0098640B">
        <w:rPr>
          <w:lang w:val="en-US"/>
        </w:rPr>
        <w:t>5</w:t>
      </w:r>
      <w:r w:rsidR="00BB6676" w:rsidRPr="0098640B">
        <w:rPr>
          <w:lang w:val="en-US"/>
        </w:rPr>
        <w:t xml:space="preserve"> departments </w:t>
      </w:r>
      <w:r w:rsidRPr="0098640B">
        <w:rPr>
          <w:lang w:val="en-US"/>
        </w:rPr>
        <w:t>across</w:t>
      </w:r>
      <w:r w:rsidR="00BB6676" w:rsidRPr="0098640B">
        <w:rPr>
          <w:lang w:val="en-US"/>
        </w:rPr>
        <w:t xml:space="preserve"> 17 countries.</w:t>
      </w:r>
      <w:r w:rsidR="0081772B" w:rsidRPr="0098640B">
        <w:rPr>
          <w:lang w:val="en-US"/>
        </w:rPr>
        <w:t xml:space="preserve"> </w:t>
      </w:r>
      <w:r w:rsidR="00A0632B" w:rsidRPr="0098640B">
        <w:rPr>
          <w:lang w:val="en-US"/>
        </w:rPr>
        <w:t>Returning Scholars have introduced new courses, revised existing ones</w:t>
      </w:r>
      <w:r w:rsidR="00532E99" w:rsidRPr="0098640B">
        <w:rPr>
          <w:lang w:val="en-US"/>
        </w:rPr>
        <w:t xml:space="preserve"> and </w:t>
      </w:r>
      <w:r w:rsidR="0081772B" w:rsidRPr="0098640B">
        <w:rPr>
          <w:lang w:val="en-US"/>
        </w:rPr>
        <w:t>initiated</w:t>
      </w:r>
      <w:r w:rsidR="00BB6676" w:rsidRPr="0098640B">
        <w:rPr>
          <w:lang w:val="en-US"/>
        </w:rPr>
        <w:t xml:space="preserve"> comprehensive transformation</w:t>
      </w:r>
      <w:r w:rsidR="0081772B" w:rsidRPr="0098640B">
        <w:rPr>
          <w:lang w:val="en-US"/>
        </w:rPr>
        <w:t>s</w:t>
      </w:r>
      <w:r w:rsidR="00BB6676" w:rsidRPr="0098640B">
        <w:rPr>
          <w:lang w:val="en-US"/>
        </w:rPr>
        <w:t xml:space="preserve"> of traditional curricula and methodological approaches. </w:t>
      </w:r>
      <w:r w:rsidR="00D75298" w:rsidRPr="0098640B">
        <w:rPr>
          <w:lang w:val="en-US"/>
        </w:rPr>
        <w:t xml:space="preserve">For example, </w:t>
      </w:r>
      <w:r w:rsidR="006223D6" w:rsidRPr="0098640B">
        <w:rPr>
          <w:lang w:val="en-US"/>
        </w:rPr>
        <w:t>AFP Scholars have been</w:t>
      </w:r>
      <w:r w:rsidR="00BB6676" w:rsidRPr="0098640B">
        <w:rPr>
          <w:lang w:val="en-US"/>
        </w:rPr>
        <w:t xml:space="preserve"> instrumental in </w:t>
      </w:r>
      <w:r w:rsidR="00D75298" w:rsidRPr="0098640B">
        <w:rPr>
          <w:lang w:val="en-US"/>
        </w:rPr>
        <w:t xml:space="preserve">establishing </w:t>
      </w:r>
      <w:r w:rsidR="005F186E" w:rsidRPr="0098640B">
        <w:rPr>
          <w:lang w:val="en-US"/>
        </w:rPr>
        <w:t xml:space="preserve">a new </w:t>
      </w:r>
      <w:r w:rsidR="00BB6676" w:rsidRPr="0098640B">
        <w:rPr>
          <w:lang w:val="en-US"/>
        </w:rPr>
        <w:t xml:space="preserve">LLM in Human Rights and </w:t>
      </w:r>
      <w:r w:rsidR="00726A82" w:rsidRPr="0098640B">
        <w:rPr>
          <w:lang w:val="en-US"/>
        </w:rPr>
        <w:t xml:space="preserve">an </w:t>
      </w:r>
      <w:r w:rsidR="00BB6676" w:rsidRPr="0098640B">
        <w:rPr>
          <w:lang w:val="en-US"/>
        </w:rPr>
        <w:t xml:space="preserve">MA in European Law </w:t>
      </w:r>
      <w:r w:rsidR="0081772B" w:rsidRPr="0098640B">
        <w:rPr>
          <w:lang w:val="en-US"/>
        </w:rPr>
        <w:t>at</w:t>
      </w:r>
      <w:r w:rsidR="00BB6676" w:rsidRPr="0098640B">
        <w:rPr>
          <w:lang w:val="en-US"/>
        </w:rPr>
        <w:t xml:space="preserve"> Baku State University</w:t>
      </w:r>
      <w:r w:rsidR="00726A82" w:rsidRPr="0098640B">
        <w:rPr>
          <w:lang w:val="en-US"/>
        </w:rPr>
        <w:t>,</w:t>
      </w:r>
      <w:r w:rsidR="00BB6676" w:rsidRPr="0098640B">
        <w:rPr>
          <w:lang w:val="en-US"/>
        </w:rPr>
        <w:t xml:space="preserve"> four </w:t>
      </w:r>
      <w:r w:rsidR="005F186E" w:rsidRPr="0098640B">
        <w:rPr>
          <w:lang w:val="en-US"/>
        </w:rPr>
        <w:t xml:space="preserve">new </w:t>
      </w:r>
      <w:r w:rsidR="00BB6676" w:rsidRPr="0098640B">
        <w:rPr>
          <w:lang w:val="en-US"/>
        </w:rPr>
        <w:t>MA</w:t>
      </w:r>
      <w:r w:rsidR="00726A82" w:rsidRPr="0098640B">
        <w:rPr>
          <w:lang w:val="en-US"/>
        </w:rPr>
        <w:t xml:space="preserve"> programs</w:t>
      </w:r>
      <w:r w:rsidR="00BB6676" w:rsidRPr="0098640B">
        <w:rPr>
          <w:lang w:val="en-US"/>
        </w:rPr>
        <w:t xml:space="preserve"> and one PhD program</w:t>
      </w:r>
      <w:r w:rsidR="0081772B" w:rsidRPr="0098640B">
        <w:rPr>
          <w:lang w:val="en-US"/>
        </w:rPr>
        <w:t xml:space="preserve"> </w:t>
      </w:r>
      <w:r w:rsidR="00413182" w:rsidRPr="0098640B">
        <w:rPr>
          <w:lang w:val="en-US"/>
        </w:rPr>
        <w:t xml:space="preserve">in Political Science </w:t>
      </w:r>
      <w:r w:rsidR="0081772B" w:rsidRPr="0098640B">
        <w:rPr>
          <w:lang w:val="en-US"/>
        </w:rPr>
        <w:t>at the University of Skopje,</w:t>
      </w:r>
      <w:r w:rsidR="00BB6676" w:rsidRPr="0098640B">
        <w:rPr>
          <w:lang w:val="en-US"/>
        </w:rPr>
        <w:t xml:space="preserve"> </w:t>
      </w:r>
      <w:r w:rsidR="0081772B" w:rsidRPr="0098640B">
        <w:rPr>
          <w:lang w:val="en-US"/>
        </w:rPr>
        <w:t xml:space="preserve">and </w:t>
      </w:r>
      <w:r w:rsidR="00BB6676" w:rsidRPr="0098640B">
        <w:rPr>
          <w:lang w:val="en-US"/>
        </w:rPr>
        <w:t xml:space="preserve">BA and MA </w:t>
      </w:r>
      <w:r w:rsidR="00726A82" w:rsidRPr="0098640B">
        <w:rPr>
          <w:lang w:val="en-US"/>
        </w:rPr>
        <w:t xml:space="preserve">programs </w:t>
      </w:r>
      <w:r w:rsidR="00BB6676" w:rsidRPr="0098640B">
        <w:rPr>
          <w:lang w:val="en-US"/>
        </w:rPr>
        <w:t>in Inte</w:t>
      </w:r>
      <w:r w:rsidR="00880899" w:rsidRPr="0098640B">
        <w:rPr>
          <w:lang w:val="en-US"/>
        </w:rPr>
        <w:t xml:space="preserve">rnational Economic Relations </w:t>
      </w:r>
      <w:r w:rsidR="00BB6676" w:rsidRPr="0098640B">
        <w:rPr>
          <w:lang w:val="en-US"/>
        </w:rPr>
        <w:t xml:space="preserve">at Odessa National University. In </w:t>
      </w:r>
      <w:r w:rsidR="00827D40" w:rsidRPr="0098640B">
        <w:rPr>
          <w:lang w:val="en-US"/>
        </w:rPr>
        <w:t xml:space="preserve">Mongolia </w:t>
      </w:r>
      <w:r w:rsidR="001E674A">
        <w:rPr>
          <w:lang w:val="en-US"/>
        </w:rPr>
        <w:t xml:space="preserve">and </w:t>
      </w:r>
      <w:r w:rsidR="00827D40" w:rsidRPr="0098640B">
        <w:rPr>
          <w:lang w:val="en-US"/>
        </w:rPr>
        <w:t>Kyrgyzstan (</w:t>
      </w:r>
      <w:r w:rsidR="00515A87">
        <w:rPr>
          <w:lang w:val="en-US"/>
        </w:rPr>
        <w:t>Anthropology</w:t>
      </w:r>
      <w:r w:rsidR="005F186E" w:rsidRPr="0098640B">
        <w:rPr>
          <w:lang w:val="en-US"/>
        </w:rPr>
        <w:t>), and</w:t>
      </w:r>
      <w:r w:rsidR="00726A82" w:rsidRPr="0098640B">
        <w:rPr>
          <w:lang w:val="en-US"/>
        </w:rPr>
        <w:t xml:space="preserve"> </w:t>
      </w:r>
      <w:r w:rsidR="00827D40" w:rsidRPr="0098640B">
        <w:rPr>
          <w:lang w:val="en-US"/>
        </w:rPr>
        <w:t>Georgia (</w:t>
      </w:r>
      <w:r w:rsidR="00726A82" w:rsidRPr="0098640B">
        <w:rPr>
          <w:lang w:val="en-US"/>
        </w:rPr>
        <w:t>Gender Studies</w:t>
      </w:r>
      <w:r w:rsidR="00827D40" w:rsidRPr="0098640B">
        <w:rPr>
          <w:lang w:val="en-US"/>
        </w:rPr>
        <w:t>)</w:t>
      </w:r>
      <w:r w:rsidR="00726A82" w:rsidRPr="0098640B">
        <w:rPr>
          <w:lang w:val="en-US"/>
        </w:rPr>
        <w:t>, AFP</w:t>
      </w:r>
      <w:r w:rsidR="00BB6676" w:rsidRPr="0098640B">
        <w:rPr>
          <w:lang w:val="en-US"/>
        </w:rPr>
        <w:t xml:space="preserve"> </w:t>
      </w:r>
      <w:r w:rsidR="00726A82" w:rsidRPr="0098640B">
        <w:rPr>
          <w:lang w:val="en-US"/>
        </w:rPr>
        <w:t xml:space="preserve">has </w:t>
      </w:r>
      <w:r w:rsidR="00BB6676" w:rsidRPr="0098640B">
        <w:rPr>
          <w:lang w:val="en-US"/>
        </w:rPr>
        <w:t xml:space="preserve">indirectly </w:t>
      </w:r>
      <w:r w:rsidR="00BB6676" w:rsidRPr="00682938">
        <w:rPr>
          <w:lang w:val="en-US"/>
        </w:rPr>
        <w:t>contributed</w:t>
      </w:r>
      <w:r w:rsidR="00BB6676" w:rsidRPr="0098640B">
        <w:rPr>
          <w:lang w:val="en-US"/>
        </w:rPr>
        <w:t xml:space="preserve"> to </w:t>
      </w:r>
      <w:r w:rsidR="00726A82" w:rsidRPr="0098640B">
        <w:rPr>
          <w:lang w:val="en-US"/>
        </w:rPr>
        <w:t xml:space="preserve">the </w:t>
      </w:r>
      <w:r w:rsidR="005F186E" w:rsidRPr="0098640B">
        <w:rPr>
          <w:lang w:val="en-US"/>
        </w:rPr>
        <w:t>introduction</w:t>
      </w:r>
      <w:r w:rsidR="00BB6676" w:rsidRPr="0098640B">
        <w:rPr>
          <w:lang w:val="en-US"/>
        </w:rPr>
        <w:t xml:space="preserve"> of new academic disciplines</w:t>
      </w:r>
      <w:r w:rsidR="0081772B" w:rsidRPr="0098640B">
        <w:rPr>
          <w:lang w:val="en-US"/>
        </w:rPr>
        <w:t xml:space="preserve"> </w:t>
      </w:r>
      <w:r w:rsidR="00D75298" w:rsidRPr="0098640B">
        <w:rPr>
          <w:lang w:val="en-US"/>
        </w:rPr>
        <w:t>altogether</w:t>
      </w:r>
      <w:r w:rsidR="0081772B" w:rsidRPr="0098640B">
        <w:rPr>
          <w:lang w:val="en-US"/>
        </w:rPr>
        <w:t>.</w:t>
      </w:r>
      <w:r w:rsidR="00682938">
        <w:rPr>
          <w:lang w:val="en-US"/>
        </w:rPr>
        <w:t xml:space="preserve"> </w:t>
      </w:r>
    </w:p>
    <w:p w:rsidR="00B43BCC" w:rsidRPr="0098640B" w:rsidRDefault="00A809B8" w:rsidP="00791A29">
      <w:pPr>
        <w:pStyle w:val="ListParagraph"/>
        <w:tabs>
          <w:tab w:val="left" w:pos="270"/>
        </w:tabs>
        <w:spacing w:line="240" w:lineRule="auto"/>
        <w:ind w:left="0"/>
        <w:contextualSpacing w:val="0"/>
        <w:jc w:val="both"/>
        <w:rPr>
          <w:lang w:val="en-US"/>
        </w:rPr>
      </w:pPr>
      <w:r w:rsidRPr="0098640B">
        <w:rPr>
          <w:lang w:val="en-US"/>
        </w:rPr>
        <w:t xml:space="preserve">AFP has also </w:t>
      </w:r>
      <w:r w:rsidR="00682938">
        <w:rPr>
          <w:lang w:val="en-US"/>
        </w:rPr>
        <w:t>enhanced</w:t>
      </w:r>
      <w:r w:rsidR="001E674A" w:rsidRPr="0098640B">
        <w:rPr>
          <w:lang w:val="en-US"/>
        </w:rPr>
        <w:t xml:space="preserve"> </w:t>
      </w:r>
      <w:r w:rsidR="00145AC0" w:rsidRPr="0098640B">
        <w:rPr>
          <w:lang w:val="en-US"/>
        </w:rPr>
        <w:t>regional</w:t>
      </w:r>
      <w:r w:rsidRPr="0098640B">
        <w:rPr>
          <w:lang w:val="en-US"/>
        </w:rPr>
        <w:t xml:space="preserve"> networking and academic collaboration</w:t>
      </w:r>
      <w:r w:rsidR="001A53A1" w:rsidRPr="0098640B">
        <w:rPr>
          <w:lang w:val="en-US"/>
        </w:rPr>
        <w:t xml:space="preserve"> among AFP scholars via regular </w:t>
      </w:r>
      <w:r w:rsidR="001046D9" w:rsidRPr="0098640B">
        <w:rPr>
          <w:lang w:val="en-US"/>
        </w:rPr>
        <w:t xml:space="preserve">gatherings, an online </w:t>
      </w:r>
      <w:r w:rsidR="007D4A30" w:rsidRPr="0098640B">
        <w:rPr>
          <w:lang w:val="en-US"/>
        </w:rPr>
        <w:t xml:space="preserve">communication </w:t>
      </w:r>
      <w:r w:rsidR="001046D9" w:rsidRPr="0098640B">
        <w:rPr>
          <w:lang w:val="en-US"/>
        </w:rPr>
        <w:t>platform and individual mobility funds</w:t>
      </w:r>
      <w:r w:rsidR="007D4A30" w:rsidRPr="0098640B">
        <w:rPr>
          <w:lang w:val="en-US"/>
        </w:rPr>
        <w:t xml:space="preserve">. Although not deliberately planned, some AFP-supported </w:t>
      </w:r>
      <w:r w:rsidRPr="0098640B">
        <w:rPr>
          <w:lang w:val="en-US"/>
        </w:rPr>
        <w:t>scholarship</w:t>
      </w:r>
      <w:r w:rsidR="00FE0C00" w:rsidRPr="0098640B">
        <w:rPr>
          <w:lang w:val="en-US"/>
        </w:rPr>
        <w:t xml:space="preserve"> </w:t>
      </w:r>
      <w:r w:rsidR="00926E71">
        <w:rPr>
          <w:lang w:val="en-US"/>
        </w:rPr>
        <w:t>found</w:t>
      </w:r>
      <w:r w:rsidR="007D4A30" w:rsidRPr="0098640B">
        <w:rPr>
          <w:lang w:val="en-US"/>
        </w:rPr>
        <w:t xml:space="preserve"> its way outside of academia and has</w:t>
      </w:r>
      <w:r w:rsidR="00FE0C00" w:rsidRPr="0098640B">
        <w:rPr>
          <w:lang w:val="en-US"/>
        </w:rPr>
        <w:t xml:space="preserve"> helped inform and shape</w:t>
      </w:r>
      <w:r w:rsidRPr="0098640B">
        <w:rPr>
          <w:lang w:val="en-US"/>
        </w:rPr>
        <w:t xml:space="preserve"> public policies</w:t>
      </w:r>
      <w:r w:rsidR="00B43BCC" w:rsidRPr="00F751CE">
        <w:rPr>
          <w:lang w:val="en-US"/>
        </w:rPr>
        <w:t>.</w:t>
      </w:r>
      <w:r w:rsidR="00037D22" w:rsidRPr="00F751CE">
        <w:rPr>
          <w:lang w:val="en-US"/>
        </w:rPr>
        <w:t xml:space="preserve"> </w:t>
      </w:r>
      <w:r w:rsidR="00EC0B23">
        <w:rPr>
          <w:lang w:val="en-US"/>
        </w:rPr>
        <w:t>T</w:t>
      </w:r>
      <w:r w:rsidR="00037D22" w:rsidRPr="00F751CE">
        <w:rPr>
          <w:lang w:val="en-US"/>
        </w:rPr>
        <w:t>his was the case</w:t>
      </w:r>
      <w:r w:rsidR="00EC0B23">
        <w:rPr>
          <w:lang w:val="en-US"/>
        </w:rPr>
        <w:t>, for instance,</w:t>
      </w:r>
      <w:r w:rsidR="00037D22" w:rsidRPr="00F751CE">
        <w:rPr>
          <w:lang w:val="en-US"/>
        </w:rPr>
        <w:t xml:space="preserve"> </w:t>
      </w:r>
      <w:r w:rsidR="00CA53B6" w:rsidRPr="00F751CE">
        <w:rPr>
          <w:lang w:val="en-US"/>
        </w:rPr>
        <w:t xml:space="preserve">in </w:t>
      </w:r>
      <w:r w:rsidR="00E731A9" w:rsidRPr="00F751CE">
        <w:rPr>
          <w:lang w:val="en-US"/>
        </w:rPr>
        <w:t>Kosovo regarding education, training and employment policies for minorities</w:t>
      </w:r>
      <w:r w:rsidR="001F1231" w:rsidRPr="00F751CE">
        <w:rPr>
          <w:lang w:val="en-US"/>
        </w:rPr>
        <w:t>, and in Serbia concerning higher education reforms</w:t>
      </w:r>
      <w:r w:rsidR="00F751CE" w:rsidRPr="00F751CE">
        <w:rPr>
          <w:lang w:val="en-US"/>
        </w:rPr>
        <w:t xml:space="preserve">. A partner rector from Ukraine’s </w:t>
      </w:r>
      <w:r w:rsidR="00F751CE" w:rsidRPr="006A195B">
        <w:rPr>
          <w:lang w:val="en-US"/>
        </w:rPr>
        <w:t>Kyiv</w:t>
      </w:r>
      <w:r w:rsidR="00682938">
        <w:rPr>
          <w:lang w:val="en-US"/>
        </w:rPr>
        <w:t>-</w:t>
      </w:r>
      <w:r w:rsidR="00F751CE" w:rsidRPr="006A195B">
        <w:rPr>
          <w:lang w:val="en-US"/>
        </w:rPr>
        <w:t>Mohyla Academy</w:t>
      </w:r>
      <w:r w:rsidR="00F751CE" w:rsidRPr="00F751CE">
        <w:rPr>
          <w:lang w:val="en-US"/>
        </w:rPr>
        <w:t xml:space="preserve"> has </w:t>
      </w:r>
      <w:r w:rsidR="00D06198">
        <w:rPr>
          <w:lang w:val="en-US"/>
        </w:rPr>
        <w:t>recently</w:t>
      </w:r>
      <w:r w:rsidR="00F751CE" w:rsidRPr="00F751CE">
        <w:rPr>
          <w:lang w:val="en-US"/>
        </w:rPr>
        <w:t xml:space="preserve"> been appointed Minister of Education and has </w:t>
      </w:r>
      <w:r w:rsidR="00E2090F">
        <w:rPr>
          <w:lang w:val="en-US"/>
        </w:rPr>
        <w:t>retained</w:t>
      </w:r>
      <w:r w:rsidR="00F751CE" w:rsidRPr="00F751CE">
        <w:rPr>
          <w:lang w:val="en-US"/>
        </w:rPr>
        <w:t xml:space="preserve"> </w:t>
      </w:r>
      <w:r w:rsidR="00E2090F">
        <w:rPr>
          <w:lang w:val="en-US"/>
        </w:rPr>
        <w:t xml:space="preserve">AFP </w:t>
      </w:r>
      <w:r w:rsidR="00F751CE" w:rsidRPr="00F751CE">
        <w:rPr>
          <w:lang w:val="en-US"/>
        </w:rPr>
        <w:t>Returning Scholar</w:t>
      </w:r>
      <w:r w:rsidR="00515A87">
        <w:rPr>
          <w:lang w:val="en-US"/>
        </w:rPr>
        <w:t xml:space="preserve"> Alumni</w:t>
      </w:r>
      <w:r w:rsidR="00F751CE" w:rsidRPr="00F751CE">
        <w:rPr>
          <w:lang w:val="en-US"/>
        </w:rPr>
        <w:t xml:space="preserve"> as advisors</w:t>
      </w:r>
      <w:r w:rsidR="00E2090F">
        <w:rPr>
          <w:lang w:val="en-US"/>
        </w:rPr>
        <w:t xml:space="preserve">, where they have already </w:t>
      </w:r>
      <w:r w:rsidR="00F751CE" w:rsidRPr="00F751CE">
        <w:rPr>
          <w:lang w:val="en-US"/>
        </w:rPr>
        <w:t xml:space="preserve">begun </w:t>
      </w:r>
      <w:r w:rsidR="00E2090F">
        <w:rPr>
          <w:lang w:val="en-US"/>
        </w:rPr>
        <w:t xml:space="preserve">to reform the </w:t>
      </w:r>
      <w:r w:rsidR="00F751CE" w:rsidRPr="00F751CE">
        <w:rPr>
          <w:lang w:val="en-US"/>
        </w:rPr>
        <w:t>higher education sector</w:t>
      </w:r>
      <w:r w:rsidR="00CA53B6" w:rsidRPr="00F751CE">
        <w:rPr>
          <w:lang w:val="en-US"/>
        </w:rPr>
        <w:t>.</w:t>
      </w:r>
    </w:p>
    <w:p w:rsidR="00D76FC9" w:rsidRPr="00441866" w:rsidRDefault="008A533F" w:rsidP="00441866">
      <w:pPr>
        <w:pStyle w:val="Heading3"/>
        <w:rPr>
          <w:sz w:val="24"/>
          <w:szCs w:val="24"/>
          <w:lang w:val="en-US"/>
        </w:rPr>
      </w:pPr>
      <w:r w:rsidRPr="00441866">
        <w:rPr>
          <w:sz w:val="24"/>
          <w:szCs w:val="24"/>
          <w:lang w:val="en-US"/>
        </w:rPr>
        <w:t xml:space="preserve">AFP </w:t>
      </w:r>
      <w:r w:rsidR="007B3BA8">
        <w:rPr>
          <w:sz w:val="24"/>
          <w:szCs w:val="24"/>
          <w:lang w:val="en-US"/>
        </w:rPr>
        <w:t>I</w:t>
      </w:r>
      <w:r w:rsidR="00147B92">
        <w:rPr>
          <w:sz w:val="24"/>
          <w:szCs w:val="24"/>
          <w:lang w:val="en-US"/>
        </w:rPr>
        <w:t>nstruments</w:t>
      </w:r>
      <w:r w:rsidR="001D3425">
        <w:rPr>
          <w:sz w:val="24"/>
          <w:szCs w:val="24"/>
          <w:lang w:val="en-US"/>
        </w:rPr>
        <w:t xml:space="preserve"> and Administrative Structure</w:t>
      </w:r>
    </w:p>
    <w:p w:rsidR="00D76FC9" w:rsidRDefault="00BF38D1" w:rsidP="003E23BB">
      <w:pPr>
        <w:autoSpaceDE w:val="0"/>
        <w:autoSpaceDN w:val="0"/>
        <w:adjustRightInd w:val="0"/>
        <w:spacing w:line="240" w:lineRule="auto"/>
        <w:jc w:val="both"/>
        <w:rPr>
          <w:lang w:val="en-US"/>
        </w:rPr>
      </w:pPr>
      <w:r w:rsidRPr="0098640B">
        <w:rPr>
          <w:lang w:val="en-US"/>
        </w:rPr>
        <w:t xml:space="preserve">As depicted below, </w:t>
      </w:r>
      <w:r w:rsidR="00D76FC9" w:rsidRPr="0098640B">
        <w:rPr>
          <w:lang w:val="en-US"/>
        </w:rPr>
        <w:t xml:space="preserve">AFP </w:t>
      </w:r>
      <w:r w:rsidR="00D52195" w:rsidRPr="0098640B">
        <w:rPr>
          <w:lang w:val="en-US"/>
        </w:rPr>
        <w:t>deploys</w:t>
      </w:r>
      <w:r w:rsidR="00D76FC9" w:rsidRPr="0098640B">
        <w:rPr>
          <w:lang w:val="en-US"/>
        </w:rPr>
        <w:t xml:space="preserve"> a set of interconnected tools</w:t>
      </w:r>
      <w:r w:rsidR="00413151" w:rsidRPr="0098640B">
        <w:rPr>
          <w:lang w:val="en-US"/>
        </w:rPr>
        <w:t xml:space="preserve"> </w:t>
      </w:r>
      <w:r w:rsidR="00164D0B" w:rsidRPr="0098640B">
        <w:rPr>
          <w:lang w:val="en-US"/>
        </w:rPr>
        <w:t xml:space="preserve">designed </w:t>
      </w:r>
      <w:r w:rsidR="00D76FC9" w:rsidRPr="0098640B">
        <w:rPr>
          <w:lang w:val="en-US"/>
        </w:rPr>
        <w:t>to ensure departmental development through individual faculty development.</w:t>
      </w:r>
      <w:r w:rsidR="003A275D">
        <w:rPr>
          <w:lang w:val="en-US"/>
        </w:rPr>
        <w:t xml:space="preserve"> </w:t>
      </w:r>
      <w:r w:rsidR="00742BAA" w:rsidRPr="00522B73">
        <w:rPr>
          <w:lang w:val="en-US"/>
        </w:rPr>
        <w:t>AFP</w:t>
      </w:r>
      <w:r w:rsidR="00742BAA">
        <w:rPr>
          <w:lang w:val="en-US"/>
        </w:rPr>
        <w:t>’s main</w:t>
      </w:r>
      <w:r w:rsidR="00742BAA" w:rsidRPr="00522B73">
        <w:rPr>
          <w:lang w:val="en-US"/>
        </w:rPr>
        <w:t xml:space="preserve"> instruments</w:t>
      </w:r>
      <w:r w:rsidR="00742BAA">
        <w:rPr>
          <w:lang w:val="en-US"/>
        </w:rPr>
        <w:t xml:space="preserve">—the Returning and International Scholar schemes—are buttressed by a set of </w:t>
      </w:r>
      <w:r w:rsidR="00A96D08">
        <w:rPr>
          <w:lang w:val="en-US"/>
        </w:rPr>
        <w:t xml:space="preserve">(sometimes underutilized) </w:t>
      </w:r>
      <w:r w:rsidR="00742BAA">
        <w:rPr>
          <w:lang w:val="en-US"/>
        </w:rPr>
        <w:t xml:space="preserve">funds that enable meetings, </w:t>
      </w:r>
      <w:r w:rsidR="009E550A">
        <w:rPr>
          <w:lang w:val="en-US"/>
        </w:rPr>
        <w:t>conference participation, research visits</w:t>
      </w:r>
      <w:r w:rsidR="00A96D08">
        <w:rPr>
          <w:lang w:val="en-US"/>
        </w:rPr>
        <w:t>, departmental development</w:t>
      </w:r>
      <w:r w:rsidR="009E550A">
        <w:rPr>
          <w:lang w:val="en-US"/>
        </w:rPr>
        <w:t xml:space="preserve"> and a ‘Webfolio’ online communication and </w:t>
      </w:r>
      <w:r w:rsidR="00D37DE6">
        <w:rPr>
          <w:lang w:val="en-US"/>
        </w:rPr>
        <w:t>research materials</w:t>
      </w:r>
      <w:r w:rsidR="009B0E3D">
        <w:rPr>
          <w:lang w:val="en-US"/>
        </w:rPr>
        <w:t xml:space="preserve"> </w:t>
      </w:r>
      <w:r w:rsidR="009E550A">
        <w:rPr>
          <w:lang w:val="en-US"/>
        </w:rPr>
        <w:t>platform</w:t>
      </w:r>
      <w:r w:rsidR="006B285C">
        <w:rPr>
          <w:lang w:val="en-US"/>
        </w:rPr>
        <w:t>.</w:t>
      </w:r>
      <w:r w:rsidR="00742BAA">
        <w:rPr>
          <w:lang w:val="en-US"/>
        </w:rPr>
        <w:t xml:space="preserve"> </w:t>
      </w:r>
      <w:r w:rsidR="003A275D">
        <w:rPr>
          <w:lang w:val="en-US"/>
        </w:rPr>
        <w:t>It all starts with a 3-year development plan that departments submit to AFP as part of their application process. If selected, they become eligible for the following forms of support:</w:t>
      </w:r>
    </w:p>
    <w:p w:rsidR="00724739" w:rsidRPr="0098640B" w:rsidRDefault="00241628" w:rsidP="006F5F77">
      <w:pPr>
        <w:autoSpaceDE w:val="0"/>
        <w:autoSpaceDN w:val="0"/>
        <w:adjustRightInd w:val="0"/>
        <w:spacing w:line="240" w:lineRule="auto"/>
        <w:jc w:val="center"/>
        <w:rPr>
          <w:lang w:val="en-US"/>
        </w:rPr>
      </w:pPr>
      <w:r>
        <w:rPr>
          <w:noProof/>
          <w:lang w:val="en-US"/>
        </w:rPr>
        <w:lastRenderedPageBreak/>
        <w:drawing>
          <wp:inline distT="0" distB="0" distL="0" distR="0" wp14:anchorId="35998771" wp14:editId="5DEDCAD2">
            <wp:extent cx="4476902" cy="2131486"/>
            <wp:effectExtent l="0" t="0" r="0" b="2540"/>
            <wp:docPr id="2" name="Picture 2" descr="C:\Users\szaytsev\AppData\Local\Microsoft\Windows\Temporary Internet Files\Content.Outlook\HOR2J30Q\AFP support instruments_fin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zaytsev\AppData\Local\Microsoft\Windows\Temporary Internet Files\Content.Outlook\HOR2J30Q\AFP support instruments_final.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479548" cy="2132746"/>
                    </a:xfrm>
                    <a:prstGeom prst="rect">
                      <a:avLst/>
                    </a:prstGeom>
                    <a:noFill/>
                    <a:ln>
                      <a:noFill/>
                    </a:ln>
                  </pic:spPr>
                </pic:pic>
              </a:graphicData>
            </a:graphic>
          </wp:inline>
        </w:drawing>
      </w:r>
    </w:p>
    <w:p w:rsidR="00D9721D" w:rsidRPr="00E07FF8" w:rsidRDefault="00D76FC9" w:rsidP="00791A29">
      <w:pPr>
        <w:pStyle w:val="ListParagraph"/>
        <w:tabs>
          <w:tab w:val="left" w:pos="270"/>
        </w:tabs>
        <w:autoSpaceDE w:val="0"/>
        <w:autoSpaceDN w:val="0"/>
        <w:adjustRightInd w:val="0"/>
        <w:spacing w:after="80" w:line="240" w:lineRule="auto"/>
        <w:ind w:left="0"/>
        <w:contextualSpacing w:val="0"/>
        <w:jc w:val="both"/>
        <w:rPr>
          <w:lang w:val="en-US"/>
        </w:rPr>
      </w:pPr>
      <w:r w:rsidRPr="00E07FF8">
        <w:rPr>
          <w:b/>
          <w:lang w:val="en-US"/>
        </w:rPr>
        <w:t>R</w:t>
      </w:r>
      <w:r w:rsidR="00B15E64" w:rsidRPr="00E07FF8">
        <w:rPr>
          <w:b/>
          <w:lang w:val="en-US"/>
        </w:rPr>
        <w:t xml:space="preserve">eturning </w:t>
      </w:r>
      <w:r w:rsidRPr="00E07FF8">
        <w:rPr>
          <w:b/>
          <w:lang w:val="en-US"/>
        </w:rPr>
        <w:t>S</w:t>
      </w:r>
      <w:r w:rsidR="00B15E64" w:rsidRPr="00E07FF8">
        <w:rPr>
          <w:b/>
          <w:lang w:val="en-US"/>
        </w:rPr>
        <w:t>cholars</w:t>
      </w:r>
      <w:r w:rsidR="00926E71" w:rsidRPr="00E07FF8">
        <w:rPr>
          <w:b/>
          <w:lang w:val="en-US"/>
        </w:rPr>
        <w:t xml:space="preserve"> </w:t>
      </w:r>
      <w:r w:rsidR="00A434D7" w:rsidRPr="00E07FF8">
        <w:rPr>
          <w:b/>
          <w:lang w:val="en-US"/>
        </w:rPr>
        <w:t>Fellowship</w:t>
      </w:r>
      <w:r w:rsidR="00926E71" w:rsidRPr="00E07FF8">
        <w:rPr>
          <w:b/>
          <w:lang w:val="en-US"/>
        </w:rPr>
        <w:t xml:space="preserve"> </w:t>
      </w:r>
      <w:r w:rsidR="00A434D7" w:rsidRPr="00E07FF8">
        <w:rPr>
          <w:b/>
          <w:lang w:val="en-US"/>
        </w:rPr>
        <w:t>Program</w:t>
      </w:r>
      <w:r w:rsidR="008F36FB" w:rsidRPr="00E07FF8">
        <w:rPr>
          <w:b/>
          <w:lang w:val="en-US"/>
        </w:rPr>
        <w:t xml:space="preserve">: </w:t>
      </w:r>
      <w:r w:rsidR="00CA53B6" w:rsidRPr="00E07FF8">
        <w:rPr>
          <w:lang w:val="en-US"/>
        </w:rPr>
        <w:t xml:space="preserve">AFP’s </w:t>
      </w:r>
      <w:r w:rsidR="00341E4D" w:rsidRPr="00E07FF8">
        <w:rPr>
          <w:lang w:val="en-US"/>
        </w:rPr>
        <w:t>pre-eminent</w:t>
      </w:r>
      <w:r w:rsidR="00CA53B6" w:rsidRPr="00E07FF8">
        <w:rPr>
          <w:lang w:val="en-US"/>
        </w:rPr>
        <w:t xml:space="preserve"> </w:t>
      </w:r>
      <w:r w:rsidR="008F36FB" w:rsidRPr="00E07FF8">
        <w:rPr>
          <w:lang w:val="en-US"/>
        </w:rPr>
        <w:t>tool</w:t>
      </w:r>
      <w:r w:rsidRPr="00E07FF8">
        <w:rPr>
          <w:b/>
          <w:lang w:val="en-US"/>
        </w:rPr>
        <w:t xml:space="preserve"> </w:t>
      </w:r>
      <w:r w:rsidRPr="00E07FF8">
        <w:rPr>
          <w:lang w:val="en-US"/>
        </w:rPr>
        <w:t>target</w:t>
      </w:r>
      <w:r w:rsidR="0055139F" w:rsidRPr="00E07FF8">
        <w:rPr>
          <w:lang w:val="en-US"/>
        </w:rPr>
        <w:t>s</w:t>
      </w:r>
      <w:r w:rsidRPr="00E07FF8">
        <w:rPr>
          <w:lang w:val="en-US"/>
        </w:rPr>
        <w:t xml:space="preserve"> talented scholars who, after obtaining an MA or PhD from an internationally</w:t>
      </w:r>
      <w:r w:rsidR="006303DA" w:rsidRPr="00E07FF8">
        <w:rPr>
          <w:lang w:val="en-US"/>
        </w:rPr>
        <w:t xml:space="preserve"> </w:t>
      </w:r>
      <w:r w:rsidRPr="00E07FF8">
        <w:rPr>
          <w:lang w:val="en-US"/>
        </w:rPr>
        <w:t xml:space="preserve">recognized university, </w:t>
      </w:r>
      <w:r w:rsidR="00D33C9E" w:rsidRPr="00E07FF8">
        <w:rPr>
          <w:lang w:val="en-US"/>
        </w:rPr>
        <w:t xml:space="preserve">are supported to </w:t>
      </w:r>
      <w:r w:rsidRPr="00E07FF8">
        <w:rPr>
          <w:lang w:val="en-US"/>
        </w:rPr>
        <w:t xml:space="preserve">return </w:t>
      </w:r>
      <w:r w:rsidR="00D33C9E" w:rsidRPr="00E07FF8">
        <w:rPr>
          <w:lang w:val="en-US"/>
        </w:rPr>
        <w:t>to (or remain with)</w:t>
      </w:r>
      <w:r w:rsidRPr="00E07FF8">
        <w:rPr>
          <w:lang w:val="en-US"/>
        </w:rPr>
        <w:t xml:space="preserve"> university positions in their home countries</w:t>
      </w:r>
      <w:r w:rsidR="008F36FB" w:rsidRPr="00E07FF8">
        <w:rPr>
          <w:lang w:val="en-US"/>
        </w:rPr>
        <w:t>.</w:t>
      </w:r>
      <w:r w:rsidRPr="00E07FF8">
        <w:rPr>
          <w:rStyle w:val="FootnoteReference"/>
          <w:lang w:val="en-US"/>
        </w:rPr>
        <w:footnoteReference w:id="2"/>
      </w:r>
      <w:r w:rsidRPr="00E07FF8">
        <w:rPr>
          <w:lang w:val="en-US"/>
        </w:rPr>
        <w:t xml:space="preserve"> </w:t>
      </w:r>
      <w:r w:rsidR="00682938" w:rsidRPr="00E07FF8">
        <w:rPr>
          <w:lang w:val="en-US"/>
        </w:rPr>
        <w:t xml:space="preserve">In addition to a fellowship stipend, AFP </w:t>
      </w:r>
      <w:r w:rsidR="00FC03A7" w:rsidRPr="00E07FF8">
        <w:rPr>
          <w:lang w:val="en-US"/>
        </w:rPr>
        <w:t xml:space="preserve">furnishes </w:t>
      </w:r>
      <w:r w:rsidR="00682938" w:rsidRPr="00E07FF8">
        <w:rPr>
          <w:lang w:val="en-US"/>
        </w:rPr>
        <w:t>Returning Scholars with teaching materials and internet allowances.</w:t>
      </w:r>
    </w:p>
    <w:p w:rsidR="00D9721D" w:rsidRPr="00E07FF8" w:rsidRDefault="00E43625" w:rsidP="00791A29">
      <w:pPr>
        <w:spacing w:after="80" w:line="240" w:lineRule="auto"/>
        <w:jc w:val="both"/>
        <w:rPr>
          <w:lang w:val="en-US"/>
        </w:rPr>
      </w:pPr>
      <w:r w:rsidRPr="00E07FF8">
        <w:rPr>
          <w:b/>
          <w:lang w:val="en-US"/>
        </w:rPr>
        <w:t>International Scholars</w:t>
      </w:r>
      <w:r w:rsidRPr="00E07FF8">
        <w:rPr>
          <w:lang w:val="en-US"/>
        </w:rPr>
        <w:t xml:space="preserve"> </w:t>
      </w:r>
      <w:r w:rsidRPr="00E07FF8">
        <w:rPr>
          <w:b/>
          <w:lang w:val="en-US"/>
        </w:rPr>
        <w:t xml:space="preserve">support scheme: </w:t>
      </w:r>
      <w:r w:rsidRPr="00E07FF8">
        <w:rPr>
          <w:lang w:val="en-US"/>
        </w:rPr>
        <w:t xml:space="preserve">In addition to its work with Returning Scholars, AFP </w:t>
      </w:r>
      <w:r w:rsidR="00555427" w:rsidRPr="00E07FF8">
        <w:rPr>
          <w:lang w:val="en-US"/>
        </w:rPr>
        <w:t xml:space="preserve">has also supported a total of 213 </w:t>
      </w:r>
      <w:r w:rsidRPr="00E07FF8">
        <w:rPr>
          <w:lang w:val="en-US"/>
        </w:rPr>
        <w:t xml:space="preserve">‘International Scholars’—i.e. highly qualified international academics who serve as mentors to Returning Scholars and their departments. International Scholars make 2-3 intensive visits to the university during the academic year and remain in contact with colleagues in between. Their role has been to facilitate the professional development of Returning Scholars and non-fellow faculty members as well as to advise them on academic reform processes and the overall development of the host departments. </w:t>
      </w:r>
    </w:p>
    <w:p w:rsidR="00BD6EC8" w:rsidRPr="00E07FF8" w:rsidRDefault="00D9721D" w:rsidP="00791A29">
      <w:pPr>
        <w:pStyle w:val="ListParagraph"/>
        <w:tabs>
          <w:tab w:val="left" w:pos="270"/>
        </w:tabs>
        <w:autoSpaceDE w:val="0"/>
        <w:autoSpaceDN w:val="0"/>
        <w:adjustRightInd w:val="0"/>
        <w:spacing w:after="80" w:line="240" w:lineRule="auto"/>
        <w:ind w:left="0"/>
        <w:contextualSpacing w:val="0"/>
        <w:jc w:val="both"/>
        <w:rPr>
          <w:lang w:val="en-US"/>
        </w:rPr>
      </w:pPr>
      <w:r w:rsidRPr="00E07FF8">
        <w:rPr>
          <w:b/>
          <w:lang w:val="en-US"/>
        </w:rPr>
        <w:t>Professional Development Fund</w:t>
      </w:r>
      <w:r w:rsidR="00682938" w:rsidRPr="00E07FF8">
        <w:rPr>
          <w:b/>
          <w:lang w:val="en-US"/>
        </w:rPr>
        <w:t>:</w:t>
      </w:r>
      <w:r w:rsidRPr="00E07FF8">
        <w:rPr>
          <w:lang w:val="en-US"/>
        </w:rPr>
        <w:t xml:space="preserve"> </w:t>
      </w:r>
      <w:r w:rsidR="00C80313" w:rsidRPr="00E07FF8">
        <w:rPr>
          <w:lang w:val="en-US"/>
        </w:rPr>
        <w:t xml:space="preserve">In addition to the fellowship package, AFP also provides funds </w:t>
      </w:r>
      <w:r w:rsidR="00016B55" w:rsidRPr="00E07FF8">
        <w:rPr>
          <w:lang w:val="en-US"/>
        </w:rPr>
        <w:t xml:space="preserve">to enable </w:t>
      </w:r>
      <w:r w:rsidR="00666A5B" w:rsidRPr="00E07FF8">
        <w:rPr>
          <w:lang w:val="en-US"/>
        </w:rPr>
        <w:t>participation</w:t>
      </w:r>
      <w:r w:rsidR="00C80313" w:rsidRPr="00E07FF8">
        <w:rPr>
          <w:lang w:val="en-US"/>
        </w:rPr>
        <w:t xml:space="preserve"> of Returning Scholars</w:t>
      </w:r>
      <w:r w:rsidR="00666A5B" w:rsidRPr="00E07FF8">
        <w:rPr>
          <w:lang w:val="en-US"/>
        </w:rPr>
        <w:t xml:space="preserve"> in scholarly conferences and study visits to international academic centers</w:t>
      </w:r>
      <w:r w:rsidR="00AF7D67" w:rsidRPr="00E07FF8">
        <w:rPr>
          <w:lang w:val="en-US"/>
        </w:rPr>
        <w:t>. The Fund has been</w:t>
      </w:r>
      <w:r w:rsidR="001A49BD" w:rsidRPr="00E07FF8">
        <w:rPr>
          <w:lang w:val="en-US"/>
        </w:rPr>
        <w:t xml:space="preserve"> used by approximately one-</w:t>
      </w:r>
      <w:r w:rsidR="006730A0" w:rsidRPr="00E07FF8">
        <w:rPr>
          <w:lang w:val="en-US"/>
        </w:rPr>
        <w:t>fourth</w:t>
      </w:r>
      <w:r w:rsidR="001A49BD" w:rsidRPr="00E07FF8">
        <w:rPr>
          <w:lang w:val="en-US"/>
        </w:rPr>
        <w:t xml:space="preserve"> of Returning Scholars</w:t>
      </w:r>
      <w:r w:rsidR="00DB1EE0" w:rsidRPr="00E07FF8">
        <w:rPr>
          <w:lang w:val="en-US"/>
        </w:rPr>
        <w:t xml:space="preserve"> </w:t>
      </w:r>
      <w:r w:rsidR="00016B55" w:rsidRPr="00E07FF8">
        <w:rPr>
          <w:lang w:val="en-US"/>
        </w:rPr>
        <w:t xml:space="preserve">per </w:t>
      </w:r>
      <w:r w:rsidR="00DB1EE0" w:rsidRPr="00E07FF8">
        <w:rPr>
          <w:lang w:val="en-US"/>
        </w:rPr>
        <w:t>academic year</w:t>
      </w:r>
      <w:r w:rsidR="00666A5B" w:rsidRPr="00E07FF8">
        <w:rPr>
          <w:lang w:val="en-US"/>
        </w:rPr>
        <w:t>.</w:t>
      </w:r>
    </w:p>
    <w:p w:rsidR="00E07FF8" w:rsidRPr="00E07FF8" w:rsidRDefault="00E43625" w:rsidP="00791A29">
      <w:pPr>
        <w:pStyle w:val="ListParagraph"/>
        <w:tabs>
          <w:tab w:val="left" w:pos="270"/>
        </w:tabs>
        <w:autoSpaceDE w:val="0"/>
        <w:autoSpaceDN w:val="0"/>
        <w:adjustRightInd w:val="0"/>
        <w:spacing w:after="80" w:line="240" w:lineRule="auto"/>
        <w:ind w:left="0"/>
        <w:contextualSpacing w:val="0"/>
        <w:jc w:val="both"/>
        <w:rPr>
          <w:lang w:val="en-US"/>
        </w:rPr>
      </w:pPr>
      <w:r w:rsidRPr="00E07FF8">
        <w:rPr>
          <w:b/>
          <w:lang w:val="en-US"/>
        </w:rPr>
        <w:t>Departmental Development and Mobility Funds</w:t>
      </w:r>
      <w:r w:rsidRPr="00E07FF8">
        <w:rPr>
          <w:lang w:val="en-US"/>
        </w:rPr>
        <w:t xml:space="preserve">: </w:t>
      </w:r>
      <w:r w:rsidR="00C80313" w:rsidRPr="00E07FF8">
        <w:rPr>
          <w:lang w:val="en-US"/>
        </w:rPr>
        <w:t xml:space="preserve">The ‘Departmental Development Fund’ was used for institutional strengthening. </w:t>
      </w:r>
      <w:r w:rsidRPr="00E07FF8">
        <w:rPr>
          <w:lang w:val="en-US"/>
        </w:rPr>
        <w:t>The ‘Mobility Fund’ was designed to foster cross-fertilization between the various AFP partner departments. Both funds, awarded on a competitive basis, bolster the teaching and research capacities of AFP partner faculty.</w:t>
      </w:r>
    </w:p>
    <w:p w:rsidR="00D76FC9" w:rsidRPr="00E07FF8" w:rsidRDefault="00492E98" w:rsidP="00791A29">
      <w:pPr>
        <w:pStyle w:val="ListParagraph"/>
        <w:tabs>
          <w:tab w:val="left" w:pos="270"/>
        </w:tabs>
        <w:autoSpaceDE w:val="0"/>
        <w:autoSpaceDN w:val="0"/>
        <w:adjustRightInd w:val="0"/>
        <w:spacing w:after="80" w:line="240" w:lineRule="auto"/>
        <w:ind w:left="0"/>
        <w:contextualSpacing w:val="0"/>
        <w:jc w:val="both"/>
        <w:rPr>
          <w:lang w:val="en-US"/>
        </w:rPr>
      </w:pPr>
      <w:r w:rsidRPr="00E07FF8">
        <w:rPr>
          <w:b/>
          <w:lang w:val="en-US"/>
        </w:rPr>
        <w:t>Discipline Group Meetings</w:t>
      </w:r>
      <w:r w:rsidR="00B15E64" w:rsidRPr="00E07FF8">
        <w:rPr>
          <w:b/>
          <w:lang w:val="en-US"/>
        </w:rPr>
        <w:t xml:space="preserve">: </w:t>
      </w:r>
      <w:r w:rsidR="002616BB" w:rsidRPr="00E07FF8">
        <w:rPr>
          <w:lang w:val="en-US"/>
        </w:rPr>
        <w:t>A</w:t>
      </w:r>
      <w:r w:rsidR="00B15E64" w:rsidRPr="00E07FF8">
        <w:rPr>
          <w:lang w:val="en-US"/>
        </w:rPr>
        <w:t xml:space="preserve">nnual/semi-annual </w:t>
      </w:r>
      <w:r w:rsidR="00C80313" w:rsidRPr="00E07FF8">
        <w:rPr>
          <w:lang w:val="en-US"/>
        </w:rPr>
        <w:t xml:space="preserve">gatherings of </w:t>
      </w:r>
      <w:r w:rsidR="00D76FC9" w:rsidRPr="00E07FF8">
        <w:rPr>
          <w:lang w:val="en-US"/>
        </w:rPr>
        <w:t xml:space="preserve">fellows </w:t>
      </w:r>
      <w:r w:rsidRPr="00E07FF8">
        <w:rPr>
          <w:lang w:val="en-US"/>
        </w:rPr>
        <w:t>across</w:t>
      </w:r>
      <w:r w:rsidR="00D76FC9" w:rsidRPr="00E07FF8">
        <w:rPr>
          <w:lang w:val="en-US"/>
        </w:rPr>
        <w:t xml:space="preserve"> all disciplines</w:t>
      </w:r>
      <w:r w:rsidR="00B15E64" w:rsidRPr="00E07FF8">
        <w:rPr>
          <w:lang w:val="en-US"/>
        </w:rPr>
        <w:t>,</w:t>
      </w:r>
      <w:r w:rsidR="00D76FC9" w:rsidRPr="00E07FF8">
        <w:rPr>
          <w:lang w:val="en-US"/>
        </w:rPr>
        <w:t xml:space="preserve"> meant to enhance </w:t>
      </w:r>
      <w:r w:rsidRPr="00E07FF8">
        <w:rPr>
          <w:lang w:val="en-US"/>
        </w:rPr>
        <w:t>the</w:t>
      </w:r>
      <w:r w:rsidR="00D76FC9" w:rsidRPr="00E07FF8">
        <w:rPr>
          <w:lang w:val="en-US"/>
        </w:rPr>
        <w:t xml:space="preserve"> professional development </w:t>
      </w:r>
      <w:r w:rsidRPr="00E07FF8">
        <w:rPr>
          <w:lang w:val="en-US"/>
        </w:rPr>
        <w:t xml:space="preserve">of Returning Scholars </w:t>
      </w:r>
      <w:r w:rsidR="002D3BE4" w:rsidRPr="00E07FF8">
        <w:rPr>
          <w:lang w:val="en-US"/>
        </w:rPr>
        <w:t>through</w:t>
      </w:r>
      <w:r w:rsidR="006730A0" w:rsidRPr="00E07FF8">
        <w:rPr>
          <w:lang w:val="en-US"/>
        </w:rPr>
        <w:t xml:space="preserve"> peer feedback on</w:t>
      </w:r>
      <w:r w:rsidR="00D76FC9" w:rsidRPr="00E07FF8">
        <w:rPr>
          <w:lang w:val="en-US"/>
        </w:rPr>
        <w:t xml:space="preserve"> teaching</w:t>
      </w:r>
      <w:r w:rsidR="006730A0" w:rsidRPr="00E07FF8">
        <w:rPr>
          <w:lang w:val="en-US"/>
        </w:rPr>
        <w:t xml:space="preserve"> and research</w:t>
      </w:r>
      <w:r w:rsidR="00D76FC9" w:rsidRPr="00E07FF8">
        <w:rPr>
          <w:lang w:val="en-US"/>
        </w:rPr>
        <w:t>.</w:t>
      </w:r>
      <w:r w:rsidR="00347B95" w:rsidRPr="00E07FF8">
        <w:rPr>
          <w:lang w:val="en-US"/>
        </w:rPr>
        <w:t xml:space="preserve"> </w:t>
      </w:r>
    </w:p>
    <w:p w:rsidR="00655AFF" w:rsidRDefault="00D76FC9" w:rsidP="00E07FF8">
      <w:pPr>
        <w:pStyle w:val="ListParagraph"/>
        <w:tabs>
          <w:tab w:val="left" w:pos="360"/>
        </w:tabs>
        <w:autoSpaceDE w:val="0"/>
        <w:autoSpaceDN w:val="0"/>
        <w:adjustRightInd w:val="0"/>
        <w:spacing w:after="80" w:line="240" w:lineRule="auto"/>
        <w:ind w:left="0"/>
        <w:jc w:val="both"/>
        <w:rPr>
          <w:lang w:val="en-US"/>
        </w:rPr>
      </w:pPr>
      <w:r w:rsidRPr="00E07FF8">
        <w:rPr>
          <w:b/>
          <w:lang w:val="en-US"/>
        </w:rPr>
        <w:t>Academic Webfolio Project</w:t>
      </w:r>
      <w:r w:rsidRPr="00E07FF8">
        <w:rPr>
          <w:lang w:val="en-US"/>
        </w:rPr>
        <w:t xml:space="preserve"> </w:t>
      </w:r>
      <w:r w:rsidRPr="00E07FF8">
        <w:rPr>
          <w:b/>
          <w:lang w:val="en-US"/>
        </w:rPr>
        <w:t>(</w:t>
      </w:r>
      <w:hyperlink r:id="rId10" w:history="1">
        <w:r w:rsidRPr="00E07FF8">
          <w:rPr>
            <w:rStyle w:val="Hyperlink"/>
            <w:b/>
            <w:color w:val="auto"/>
            <w:lang w:val="en-US"/>
          </w:rPr>
          <w:t>www.academicwebfolio.org</w:t>
        </w:r>
      </w:hyperlink>
      <w:r w:rsidRPr="00E07FF8">
        <w:rPr>
          <w:b/>
          <w:lang w:val="en-US"/>
        </w:rPr>
        <w:t>)</w:t>
      </w:r>
      <w:r w:rsidR="00380FEC" w:rsidRPr="00E07FF8">
        <w:rPr>
          <w:b/>
          <w:lang w:val="en-US"/>
        </w:rPr>
        <w:t>:</w:t>
      </w:r>
      <w:r w:rsidRPr="00E07FF8">
        <w:rPr>
          <w:b/>
          <w:lang w:val="en-US"/>
        </w:rPr>
        <w:t xml:space="preserve"> </w:t>
      </w:r>
      <w:r w:rsidR="00E729C2" w:rsidRPr="00E07FF8">
        <w:rPr>
          <w:lang w:val="en-US"/>
        </w:rPr>
        <w:t>I</w:t>
      </w:r>
      <w:r w:rsidRPr="00E07FF8">
        <w:rPr>
          <w:lang w:val="en-US"/>
        </w:rPr>
        <w:t xml:space="preserve">ntroduced in </w:t>
      </w:r>
      <w:r w:rsidR="009465E6" w:rsidRPr="00E07FF8">
        <w:rPr>
          <w:lang w:val="en-US"/>
        </w:rPr>
        <w:t xml:space="preserve">2007, </w:t>
      </w:r>
      <w:r w:rsidR="00E729C2" w:rsidRPr="00E07FF8">
        <w:rPr>
          <w:lang w:val="en-US"/>
        </w:rPr>
        <w:t xml:space="preserve">the Webfolio </w:t>
      </w:r>
      <w:r w:rsidR="00BC7124" w:rsidRPr="00E07FF8">
        <w:rPr>
          <w:lang w:val="en-US"/>
        </w:rPr>
        <w:t xml:space="preserve">aimed to </w:t>
      </w:r>
      <w:r w:rsidR="00380FEC" w:rsidRPr="00E07FF8">
        <w:rPr>
          <w:lang w:val="en-US"/>
        </w:rPr>
        <w:t>provide</w:t>
      </w:r>
      <w:r w:rsidRPr="00E07FF8">
        <w:rPr>
          <w:lang w:val="en-US"/>
        </w:rPr>
        <w:t xml:space="preserve"> an interactive platform for pooling the collective academic expertise of AFP participants</w:t>
      </w:r>
      <w:r w:rsidR="00BA71A9" w:rsidRPr="00E07FF8">
        <w:rPr>
          <w:lang w:val="en-US"/>
        </w:rPr>
        <w:t>.</w:t>
      </w:r>
      <w:r w:rsidRPr="00E07FF8">
        <w:rPr>
          <w:lang w:val="en-US"/>
        </w:rPr>
        <w:t xml:space="preserve"> </w:t>
      </w:r>
      <w:r w:rsidR="00BA71A9" w:rsidRPr="00E07FF8">
        <w:rPr>
          <w:lang w:val="en-US"/>
        </w:rPr>
        <w:t>It is also</w:t>
      </w:r>
      <w:r w:rsidRPr="00E07FF8">
        <w:rPr>
          <w:lang w:val="en-US"/>
        </w:rPr>
        <w:t xml:space="preserve"> an electronic repository for academic materials </w:t>
      </w:r>
      <w:r w:rsidR="00600772" w:rsidRPr="00E07FF8">
        <w:rPr>
          <w:lang w:val="en-US"/>
        </w:rPr>
        <w:t xml:space="preserve">produced </w:t>
      </w:r>
      <w:r w:rsidRPr="00E07FF8">
        <w:rPr>
          <w:lang w:val="en-US"/>
        </w:rPr>
        <w:t xml:space="preserve">by </w:t>
      </w:r>
      <w:r w:rsidR="00BA71A9" w:rsidRPr="00E07FF8">
        <w:rPr>
          <w:lang w:val="en-US"/>
        </w:rPr>
        <w:t xml:space="preserve">the </w:t>
      </w:r>
      <w:r w:rsidRPr="00E07FF8">
        <w:rPr>
          <w:lang w:val="en-US"/>
        </w:rPr>
        <w:t>fellows</w:t>
      </w:r>
      <w:r w:rsidR="004A232C" w:rsidRPr="00E07FF8">
        <w:rPr>
          <w:lang w:val="en-US"/>
        </w:rPr>
        <w:t xml:space="preserve"> and a portal through which to access </w:t>
      </w:r>
      <w:r w:rsidR="004F1651" w:rsidRPr="00E07FF8">
        <w:rPr>
          <w:lang w:val="en-US"/>
        </w:rPr>
        <w:t>a selection of</w:t>
      </w:r>
      <w:r w:rsidR="00E729C2" w:rsidRPr="00E07FF8">
        <w:rPr>
          <w:lang w:val="en-US"/>
        </w:rPr>
        <w:t xml:space="preserve"> </w:t>
      </w:r>
      <w:r w:rsidR="00593AF0" w:rsidRPr="00E07FF8">
        <w:rPr>
          <w:lang w:val="en-US"/>
        </w:rPr>
        <w:t xml:space="preserve">EBSCO </w:t>
      </w:r>
      <w:r w:rsidR="00E729C2" w:rsidRPr="00E07FF8">
        <w:rPr>
          <w:lang w:val="en-US"/>
        </w:rPr>
        <w:t>academic resources.</w:t>
      </w:r>
      <w:r w:rsidRPr="00E07FF8">
        <w:rPr>
          <w:lang w:val="en-US"/>
        </w:rPr>
        <w:t xml:space="preserve"> </w:t>
      </w:r>
    </w:p>
    <w:p w:rsidR="00791A29" w:rsidRPr="00E07FF8" w:rsidRDefault="00791A29" w:rsidP="00E07FF8">
      <w:pPr>
        <w:pStyle w:val="ListParagraph"/>
        <w:tabs>
          <w:tab w:val="left" w:pos="360"/>
        </w:tabs>
        <w:autoSpaceDE w:val="0"/>
        <w:autoSpaceDN w:val="0"/>
        <w:adjustRightInd w:val="0"/>
        <w:spacing w:after="80" w:line="240" w:lineRule="auto"/>
        <w:ind w:left="0"/>
        <w:jc w:val="both"/>
        <w:rPr>
          <w:lang w:val="en-US"/>
        </w:rPr>
      </w:pPr>
    </w:p>
    <w:p w:rsidR="00C275A9" w:rsidRDefault="00F105DF" w:rsidP="00C275A9">
      <w:pPr>
        <w:pStyle w:val="ListParagraph"/>
        <w:tabs>
          <w:tab w:val="left" w:pos="360"/>
        </w:tabs>
        <w:autoSpaceDE w:val="0"/>
        <w:autoSpaceDN w:val="0"/>
        <w:adjustRightInd w:val="0"/>
        <w:spacing w:line="240" w:lineRule="auto"/>
        <w:ind w:left="0"/>
        <w:jc w:val="both"/>
        <w:rPr>
          <w:lang w:val="en-US"/>
        </w:rPr>
      </w:pPr>
      <w:r>
        <w:rPr>
          <w:lang w:val="en-US"/>
        </w:rPr>
        <w:t>The Administrative structure through which AFP has operated is depicted in the below chart and critiqued in the Lessons Learned chapter.</w:t>
      </w:r>
    </w:p>
    <w:p w:rsidR="00F105DF" w:rsidRPr="0098640B" w:rsidRDefault="006F5F77" w:rsidP="00116129">
      <w:pPr>
        <w:pStyle w:val="ListParagraph"/>
        <w:tabs>
          <w:tab w:val="left" w:pos="360"/>
        </w:tabs>
        <w:autoSpaceDE w:val="0"/>
        <w:autoSpaceDN w:val="0"/>
        <w:adjustRightInd w:val="0"/>
        <w:spacing w:line="240" w:lineRule="auto"/>
        <w:ind w:left="0"/>
        <w:jc w:val="center"/>
        <w:rPr>
          <w:lang w:val="en-US"/>
        </w:rPr>
      </w:pPr>
      <w:r w:rsidRPr="006F5F77">
        <w:rPr>
          <w:noProof/>
          <w:lang w:val="en-US"/>
        </w:rPr>
        <w:drawing>
          <wp:inline distT="0" distB="0" distL="0" distR="0" wp14:anchorId="49834103" wp14:editId="4B61FE9C">
            <wp:extent cx="4454957" cy="2041207"/>
            <wp:effectExtent l="0" t="0" r="3175" b="0"/>
            <wp:docPr id="1" name="Picture 3" descr="C:\Users\Tmikola\Desktop\offices staff.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Tmikola\Desktop\offices staff.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468767" cy="2047535"/>
                    </a:xfrm>
                    <a:prstGeom prst="rect">
                      <a:avLst/>
                    </a:prstGeom>
                    <a:noFill/>
                    <a:ln>
                      <a:noFill/>
                    </a:ln>
                  </pic:spPr>
                </pic:pic>
              </a:graphicData>
            </a:graphic>
          </wp:inline>
        </w:drawing>
      </w:r>
    </w:p>
    <w:p w:rsidR="00230735" w:rsidRPr="00814286" w:rsidRDefault="00EC2EE3" w:rsidP="00441866">
      <w:pPr>
        <w:pStyle w:val="Heading1"/>
        <w:rPr>
          <w:sz w:val="32"/>
          <w:szCs w:val="32"/>
          <w:lang w:val="en-US"/>
        </w:rPr>
      </w:pPr>
      <w:r>
        <w:rPr>
          <w:sz w:val="32"/>
          <w:szCs w:val="32"/>
          <w:lang w:val="en-US"/>
        </w:rPr>
        <w:t>P</w:t>
      </w:r>
      <w:r w:rsidRPr="00814286">
        <w:rPr>
          <w:sz w:val="32"/>
          <w:szCs w:val="32"/>
          <w:lang w:val="en-US"/>
        </w:rPr>
        <w:t xml:space="preserve">ortfolio </w:t>
      </w:r>
      <w:r w:rsidR="00230735" w:rsidRPr="00814286">
        <w:rPr>
          <w:sz w:val="32"/>
          <w:szCs w:val="32"/>
          <w:lang w:val="en-US"/>
        </w:rPr>
        <w:t>Analysis</w:t>
      </w:r>
    </w:p>
    <w:p w:rsidR="00B61698" w:rsidRPr="0098640B" w:rsidRDefault="00B61698" w:rsidP="00B61698">
      <w:pPr>
        <w:spacing w:line="240" w:lineRule="auto"/>
        <w:jc w:val="both"/>
        <w:rPr>
          <w:b/>
          <w:lang w:val="en-US"/>
        </w:rPr>
      </w:pPr>
      <w:r w:rsidRPr="0098640B">
        <w:rPr>
          <w:lang w:val="en-US"/>
        </w:rPr>
        <w:t xml:space="preserve">As noted, </w:t>
      </w:r>
      <w:r>
        <w:rPr>
          <w:lang w:val="en-US"/>
        </w:rPr>
        <w:t xml:space="preserve">by supporting individual academics and specific university departments, </w:t>
      </w:r>
      <w:r w:rsidRPr="0098640B">
        <w:rPr>
          <w:lang w:val="en-US"/>
        </w:rPr>
        <w:t xml:space="preserve">AFP </w:t>
      </w:r>
      <w:r>
        <w:rPr>
          <w:lang w:val="en-US"/>
        </w:rPr>
        <w:t xml:space="preserve">has </w:t>
      </w:r>
      <w:r w:rsidRPr="0098640B">
        <w:rPr>
          <w:lang w:val="en-US"/>
        </w:rPr>
        <w:t>employ</w:t>
      </w:r>
      <w:r>
        <w:rPr>
          <w:lang w:val="en-US"/>
        </w:rPr>
        <w:t>ed</w:t>
      </w:r>
      <w:r w:rsidRPr="0098640B">
        <w:rPr>
          <w:lang w:val="en-US"/>
        </w:rPr>
        <w:t xml:space="preserve"> a </w:t>
      </w:r>
      <w:r w:rsidRPr="00F31526">
        <w:rPr>
          <w:i/>
          <w:lang w:val="en-US"/>
        </w:rPr>
        <w:t>bottom-up</w:t>
      </w:r>
      <w:r w:rsidRPr="0098640B">
        <w:rPr>
          <w:lang w:val="en-US"/>
        </w:rPr>
        <w:t xml:space="preserve"> approach </w:t>
      </w:r>
      <w:r>
        <w:rPr>
          <w:lang w:val="en-US"/>
        </w:rPr>
        <w:t xml:space="preserve">to change vis-à-vis higher education systems. </w:t>
      </w:r>
      <w:r w:rsidRPr="0098640B">
        <w:rPr>
          <w:lang w:val="en-US"/>
        </w:rPr>
        <w:t xml:space="preserve">In </w:t>
      </w:r>
      <w:r>
        <w:rPr>
          <w:lang w:val="en-US"/>
        </w:rPr>
        <w:t xml:space="preserve">designing this Portfolio Review it would have been our preference to </w:t>
      </w:r>
      <w:r w:rsidRPr="0098640B">
        <w:rPr>
          <w:lang w:val="en-US"/>
        </w:rPr>
        <w:t>crit</w:t>
      </w:r>
      <w:r>
        <w:rPr>
          <w:lang w:val="en-US"/>
        </w:rPr>
        <w:t xml:space="preserve">ically assess program outcomes </w:t>
      </w:r>
      <w:r w:rsidRPr="0098640B">
        <w:rPr>
          <w:lang w:val="en-US"/>
        </w:rPr>
        <w:t xml:space="preserve">using a </w:t>
      </w:r>
      <w:r w:rsidRPr="00F31526">
        <w:rPr>
          <w:i/>
          <w:lang w:val="en-US"/>
        </w:rPr>
        <w:t>top-down</w:t>
      </w:r>
      <w:r w:rsidRPr="0098640B">
        <w:rPr>
          <w:lang w:val="en-US"/>
        </w:rPr>
        <w:t xml:space="preserve"> approach</w:t>
      </w:r>
      <w:r>
        <w:rPr>
          <w:lang w:val="en-US"/>
        </w:rPr>
        <w:t>, whereby we would</w:t>
      </w:r>
      <w:r w:rsidRPr="0098640B">
        <w:rPr>
          <w:lang w:val="en-US"/>
        </w:rPr>
        <w:t xml:space="preserve"> </w:t>
      </w:r>
      <w:r>
        <w:rPr>
          <w:lang w:val="en-US"/>
        </w:rPr>
        <w:t xml:space="preserve">have </w:t>
      </w:r>
      <w:r w:rsidRPr="0098640B">
        <w:rPr>
          <w:lang w:val="en-US"/>
        </w:rPr>
        <w:t>start</w:t>
      </w:r>
      <w:r>
        <w:rPr>
          <w:lang w:val="en-US"/>
        </w:rPr>
        <w:t>ed</w:t>
      </w:r>
      <w:r w:rsidRPr="0098640B">
        <w:rPr>
          <w:lang w:val="en-US"/>
        </w:rPr>
        <w:t xml:space="preserve"> with the country-level context and then narrow</w:t>
      </w:r>
      <w:r>
        <w:rPr>
          <w:lang w:val="en-US"/>
        </w:rPr>
        <w:t>ed</w:t>
      </w:r>
      <w:r w:rsidRPr="0098640B">
        <w:rPr>
          <w:lang w:val="en-US"/>
        </w:rPr>
        <w:t xml:space="preserve"> down to the university, department, and individual levels. </w:t>
      </w:r>
      <w:r>
        <w:rPr>
          <w:lang w:val="en-US"/>
        </w:rPr>
        <w:t xml:space="preserve">This, alas, was not eminently feasible. Because baseline assessments, country-by-country context, or progress reports were not commissioned, AFP sometimes missed the forest for the trees. At present, while we can offer anecdotal feedback about systemic transformation in some countries, no evaluation has ever been carried out to discern our broader impact on higher education in the region. Nevertheless, viewing the program through the lens of its instruments offers a fairly good sense of the types of impact that AFP has brought about. </w:t>
      </w:r>
    </w:p>
    <w:p w:rsidR="00B61698" w:rsidRPr="00441866" w:rsidRDefault="00B61698" w:rsidP="00B61698">
      <w:pPr>
        <w:pStyle w:val="Heading3"/>
        <w:rPr>
          <w:sz w:val="24"/>
          <w:szCs w:val="24"/>
          <w:lang w:val="en-US"/>
        </w:rPr>
      </w:pPr>
      <w:r>
        <w:rPr>
          <w:sz w:val="24"/>
          <w:szCs w:val="24"/>
          <w:lang w:val="en-US"/>
        </w:rPr>
        <w:t>P</w:t>
      </w:r>
      <w:r w:rsidRPr="00441866">
        <w:rPr>
          <w:sz w:val="24"/>
          <w:szCs w:val="24"/>
          <w:lang w:val="en-US"/>
        </w:rPr>
        <w:t xml:space="preserve">ortfolio </w:t>
      </w:r>
      <w:r>
        <w:rPr>
          <w:sz w:val="24"/>
          <w:szCs w:val="24"/>
          <w:lang w:val="en-US"/>
        </w:rPr>
        <w:t>scope</w:t>
      </w:r>
    </w:p>
    <w:p w:rsidR="00B61698" w:rsidRPr="00917ECA" w:rsidRDefault="00B61698" w:rsidP="00B61698">
      <w:pPr>
        <w:spacing w:line="240" w:lineRule="auto"/>
        <w:jc w:val="both"/>
        <w:rPr>
          <w:highlight w:val="yellow"/>
          <w:lang w:val="en-US"/>
        </w:rPr>
      </w:pPr>
      <w:r w:rsidRPr="0098640B">
        <w:rPr>
          <w:lang w:val="en-US"/>
        </w:rPr>
        <w:t xml:space="preserve">For this review, we selected 14 (of 95) </w:t>
      </w:r>
      <w:r>
        <w:rPr>
          <w:lang w:val="en-US"/>
        </w:rPr>
        <w:t xml:space="preserve">AFP-supported </w:t>
      </w:r>
      <w:r w:rsidRPr="0098640B">
        <w:rPr>
          <w:lang w:val="en-US"/>
        </w:rPr>
        <w:t xml:space="preserve">departments to analyze. We discuss both successes and failures and, most critically, spotlight key lessons learned. In determining which departments to assess, we asked </w:t>
      </w:r>
      <w:r>
        <w:rPr>
          <w:lang w:val="en-US"/>
        </w:rPr>
        <w:t>each of t</w:t>
      </w:r>
      <w:r w:rsidRPr="0092348E">
        <w:rPr>
          <w:lang w:val="en-US"/>
        </w:rPr>
        <w:t>he four AFP Regional Offices to select two departments that exceeded expectations, two that met expectations and two that needed improvement or were unsatisfactory.</w:t>
      </w:r>
      <w:r w:rsidRPr="0092348E">
        <w:rPr>
          <w:rStyle w:val="FootnoteReference"/>
          <w:lang w:val="en-US"/>
        </w:rPr>
        <w:footnoteReference w:id="3"/>
      </w:r>
      <w:r w:rsidRPr="00917ECA">
        <w:rPr>
          <w:lang w:val="en-US"/>
        </w:rPr>
        <w:t xml:space="preserve"> In short, well performing ones exhibited a major introduction or upscaling of reform-minded faculty and curricula; </w:t>
      </w:r>
      <w:r>
        <w:rPr>
          <w:lang w:val="en-US"/>
        </w:rPr>
        <w:t>those meeting expectations imply</w:t>
      </w:r>
      <w:r w:rsidRPr="00917ECA">
        <w:rPr>
          <w:lang w:val="en-US"/>
        </w:rPr>
        <w:t xml:space="preserve"> courses up and running as per agreed-upon targets and workplans; and </w:t>
      </w:r>
      <w:r>
        <w:rPr>
          <w:lang w:val="en-US"/>
        </w:rPr>
        <w:t>those in need of improvement</w:t>
      </w:r>
      <w:r w:rsidRPr="00917ECA">
        <w:rPr>
          <w:lang w:val="en-US"/>
        </w:rPr>
        <w:t xml:space="preserve"> reflect the failure to realize potentials and promises, </w:t>
      </w:r>
      <w:r>
        <w:rPr>
          <w:lang w:val="en-US"/>
        </w:rPr>
        <w:t xml:space="preserve">the </w:t>
      </w:r>
      <w:r w:rsidRPr="00917ECA">
        <w:rPr>
          <w:lang w:val="en-US"/>
        </w:rPr>
        <w:t xml:space="preserve">co-optation of plans, or </w:t>
      </w:r>
      <w:r>
        <w:rPr>
          <w:lang w:val="en-US"/>
        </w:rPr>
        <w:t>the withdrawing of the partnership</w:t>
      </w:r>
      <w:r w:rsidRPr="0098640B">
        <w:rPr>
          <w:lang w:val="en-US"/>
        </w:rPr>
        <w:t>.</w:t>
      </w:r>
      <w:r w:rsidRPr="0098640B">
        <w:rPr>
          <w:rStyle w:val="FootnoteReference"/>
          <w:lang w:val="en-US"/>
        </w:rPr>
        <w:footnoteReference w:id="4"/>
      </w:r>
      <w:r w:rsidRPr="0098640B">
        <w:rPr>
          <w:lang w:val="en-US"/>
        </w:rPr>
        <w:t xml:space="preserve"> We used </w:t>
      </w:r>
      <w:r>
        <w:rPr>
          <w:lang w:val="en-US"/>
        </w:rPr>
        <w:t>academic year 2007-08</w:t>
      </w:r>
      <w:r w:rsidRPr="0098640B">
        <w:rPr>
          <w:lang w:val="en-US"/>
        </w:rPr>
        <w:t xml:space="preserve"> as the starting point for analysis. This is a </w:t>
      </w:r>
      <w:r>
        <w:rPr>
          <w:lang w:val="en-US"/>
        </w:rPr>
        <w:t xml:space="preserve">logical </w:t>
      </w:r>
      <w:r w:rsidRPr="0098640B">
        <w:rPr>
          <w:lang w:val="en-US"/>
        </w:rPr>
        <w:t xml:space="preserve">dividing point for AFP, as prior to then the program </w:t>
      </w:r>
      <w:r>
        <w:rPr>
          <w:lang w:val="en-US"/>
        </w:rPr>
        <w:t xml:space="preserve">was underwriting </w:t>
      </w:r>
      <w:r w:rsidRPr="0098640B">
        <w:rPr>
          <w:lang w:val="en-US"/>
        </w:rPr>
        <w:t xml:space="preserve">the individual support scheme inherited from Civic Education </w:t>
      </w:r>
      <w:r>
        <w:rPr>
          <w:lang w:val="en-US"/>
        </w:rPr>
        <w:t>Project</w:t>
      </w:r>
      <w:r w:rsidRPr="0098640B">
        <w:rPr>
          <w:lang w:val="en-US"/>
        </w:rPr>
        <w:t xml:space="preserve">, whereas from </w:t>
      </w:r>
      <w:r>
        <w:rPr>
          <w:lang w:val="en-US"/>
        </w:rPr>
        <w:t>2007</w:t>
      </w:r>
      <w:r w:rsidRPr="0098640B">
        <w:rPr>
          <w:lang w:val="en-US"/>
        </w:rPr>
        <w:t xml:space="preserve"> Returning Scholars were supported only at selected partner departments. </w:t>
      </w:r>
    </w:p>
    <w:p w:rsidR="00155331" w:rsidRPr="00441866" w:rsidRDefault="000E248D" w:rsidP="00441866">
      <w:pPr>
        <w:pStyle w:val="Heading3"/>
        <w:rPr>
          <w:sz w:val="24"/>
          <w:szCs w:val="24"/>
          <w:lang w:val="en-US"/>
        </w:rPr>
      </w:pPr>
      <w:r>
        <w:rPr>
          <w:sz w:val="24"/>
          <w:szCs w:val="24"/>
          <w:lang w:val="en-US"/>
        </w:rPr>
        <w:t>Returning Scholars – A Tale of Two Country Sets</w:t>
      </w:r>
    </w:p>
    <w:p w:rsidR="008669E0" w:rsidRDefault="00E84125" w:rsidP="00791A29">
      <w:pPr>
        <w:pStyle w:val="NormalWeb"/>
        <w:spacing w:before="0" w:beforeAutospacing="0" w:after="200" w:afterAutospacing="0"/>
        <w:jc w:val="both"/>
        <w:rPr>
          <w:rFonts w:ascii="Calibri" w:hAnsi="Calibri"/>
          <w:sz w:val="22"/>
          <w:szCs w:val="22"/>
          <w:lang w:val="en-US" w:eastAsia="en-US"/>
        </w:rPr>
      </w:pPr>
      <w:r w:rsidRPr="0098640B">
        <w:rPr>
          <w:rFonts w:ascii="Calibri" w:hAnsi="Calibri"/>
          <w:sz w:val="22"/>
          <w:szCs w:val="22"/>
          <w:lang w:val="en-US" w:eastAsia="en-US"/>
        </w:rPr>
        <w:t>AFP</w:t>
      </w:r>
      <w:r w:rsidR="00AB71DE" w:rsidRPr="0098640B">
        <w:rPr>
          <w:rFonts w:ascii="Calibri" w:hAnsi="Calibri"/>
          <w:sz w:val="22"/>
          <w:szCs w:val="22"/>
          <w:lang w:val="en-US" w:eastAsia="en-US"/>
        </w:rPr>
        <w:t xml:space="preserve">’s chief instrument is its Returning Scholars </w:t>
      </w:r>
      <w:r w:rsidRPr="0098640B">
        <w:rPr>
          <w:rFonts w:ascii="Calibri" w:hAnsi="Calibri"/>
          <w:sz w:val="22"/>
          <w:szCs w:val="22"/>
          <w:lang w:val="en-US" w:eastAsia="en-US"/>
        </w:rPr>
        <w:t>fellowship scheme</w:t>
      </w:r>
      <w:r w:rsidR="00AB71DE" w:rsidRPr="0098640B">
        <w:rPr>
          <w:rFonts w:ascii="Calibri" w:hAnsi="Calibri"/>
          <w:sz w:val="22"/>
          <w:szCs w:val="22"/>
          <w:lang w:val="en-US" w:eastAsia="en-US"/>
        </w:rPr>
        <w:t>. As such, the</w:t>
      </w:r>
      <w:r w:rsidRPr="0098640B">
        <w:rPr>
          <w:rFonts w:ascii="Calibri" w:hAnsi="Calibri"/>
          <w:sz w:val="22"/>
          <w:szCs w:val="22"/>
          <w:lang w:val="en-US" w:eastAsia="en-US"/>
        </w:rPr>
        <w:t xml:space="preserve"> availability of candidate scholars is a key factor </w:t>
      </w:r>
      <w:r w:rsidR="00DA0FD0" w:rsidRPr="0098640B">
        <w:rPr>
          <w:rFonts w:ascii="Calibri" w:hAnsi="Calibri"/>
          <w:sz w:val="22"/>
          <w:szCs w:val="22"/>
          <w:lang w:val="en-US" w:eastAsia="en-US"/>
        </w:rPr>
        <w:t>for</w:t>
      </w:r>
      <w:r w:rsidRPr="0098640B">
        <w:rPr>
          <w:rFonts w:ascii="Calibri" w:hAnsi="Calibri"/>
          <w:sz w:val="22"/>
          <w:szCs w:val="22"/>
          <w:lang w:val="en-US" w:eastAsia="en-US"/>
        </w:rPr>
        <w:t xml:space="preserve"> its success. </w:t>
      </w:r>
      <w:r w:rsidR="005111EC" w:rsidRPr="0098640B">
        <w:rPr>
          <w:rFonts w:ascii="Calibri" w:hAnsi="Calibri"/>
          <w:sz w:val="22"/>
          <w:szCs w:val="22"/>
          <w:lang w:val="en-US" w:eastAsia="en-US"/>
        </w:rPr>
        <w:t>A</w:t>
      </w:r>
      <w:r w:rsidRPr="0098640B">
        <w:rPr>
          <w:rFonts w:ascii="Calibri" w:hAnsi="Calibri"/>
          <w:sz w:val="22"/>
          <w:szCs w:val="22"/>
          <w:lang w:val="en-US" w:eastAsia="en-US"/>
        </w:rPr>
        <w:t xml:space="preserve">vailability has varied considerably from country to country. </w:t>
      </w:r>
      <w:r w:rsidR="00B50946" w:rsidRPr="0098640B">
        <w:rPr>
          <w:rFonts w:ascii="Calibri" w:hAnsi="Calibri"/>
          <w:sz w:val="22"/>
          <w:szCs w:val="22"/>
          <w:lang w:val="en-US" w:eastAsia="en-US"/>
        </w:rPr>
        <w:t>In Georgia, Mongolia, Serbia,</w:t>
      </w:r>
      <w:r w:rsidR="00DD6015">
        <w:rPr>
          <w:rFonts w:ascii="Calibri" w:hAnsi="Calibri"/>
          <w:sz w:val="22"/>
          <w:szCs w:val="22"/>
          <w:lang w:val="en-US" w:eastAsia="en-US"/>
        </w:rPr>
        <w:t xml:space="preserve"> Macedonia, and Kosovo,</w:t>
      </w:r>
      <w:r w:rsidR="0076246A" w:rsidRPr="0098640B">
        <w:rPr>
          <w:rFonts w:ascii="Calibri" w:hAnsi="Calibri"/>
          <w:sz w:val="22"/>
          <w:szCs w:val="22"/>
          <w:lang w:val="en-US" w:eastAsia="en-US"/>
        </w:rPr>
        <w:t xml:space="preserve"> we experienced no difficulty</w:t>
      </w:r>
      <w:r w:rsidR="00673B0C" w:rsidRPr="0098640B">
        <w:rPr>
          <w:rFonts w:ascii="Calibri" w:hAnsi="Calibri"/>
          <w:sz w:val="22"/>
          <w:szCs w:val="22"/>
          <w:lang w:val="en-US" w:eastAsia="en-US"/>
        </w:rPr>
        <w:t xml:space="preserve"> in recruitment</w:t>
      </w:r>
      <w:r w:rsidR="00B50946" w:rsidRPr="0098640B">
        <w:rPr>
          <w:rFonts w:ascii="Calibri" w:hAnsi="Calibri"/>
          <w:sz w:val="22"/>
          <w:szCs w:val="22"/>
          <w:lang w:val="en-US" w:eastAsia="en-US"/>
        </w:rPr>
        <w:t>. The conditions at public universities in these countries improved significantly</w:t>
      </w:r>
      <w:r w:rsidRPr="0098640B">
        <w:rPr>
          <w:rFonts w:ascii="Calibri" w:hAnsi="Calibri"/>
          <w:sz w:val="22"/>
          <w:szCs w:val="22"/>
          <w:lang w:val="en-US" w:eastAsia="en-US"/>
        </w:rPr>
        <w:t xml:space="preserve"> </w:t>
      </w:r>
      <w:r w:rsidR="003B651A" w:rsidRPr="0098640B">
        <w:rPr>
          <w:rFonts w:ascii="Calibri" w:hAnsi="Calibri"/>
          <w:sz w:val="22"/>
          <w:szCs w:val="22"/>
          <w:lang w:val="en-US" w:eastAsia="en-US"/>
        </w:rPr>
        <w:t>after</w:t>
      </w:r>
      <w:r w:rsidRPr="0098640B">
        <w:rPr>
          <w:rFonts w:ascii="Calibri" w:hAnsi="Calibri"/>
          <w:sz w:val="22"/>
          <w:szCs w:val="22"/>
          <w:lang w:val="en-US" w:eastAsia="en-US"/>
        </w:rPr>
        <w:t xml:space="preserve"> the transition from socialism</w:t>
      </w:r>
      <w:r w:rsidR="00B50946" w:rsidRPr="0098640B">
        <w:rPr>
          <w:rFonts w:ascii="Calibri" w:hAnsi="Calibri"/>
          <w:sz w:val="22"/>
          <w:szCs w:val="22"/>
          <w:lang w:val="en-US" w:eastAsia="en-US"/>
        </w:rPr>
        <w:t>,</w:t>
      </w:r>
      <w:r w:rsidR="00C044E3" w:rsidRPr="0098640B">
        <w:rPr>
          <w:rFonts w:ascii="Calibri" w:hAnsi="Calibri"/>
          <w:sz w:val="22"/>
          <w:szCs w:val="22"/>
          <w:lang w:val="en-US" w:eastAsia="en-US"/>
        </w:rPr>
        <w:t xml:space="preserve"> and </w:t>
      </w:r>
      <w:r w:rsidR="00673B0C" w:rsidRPr="0098640B">
        <w:rPr>
          <w:rFonts w:ascii="Calibri" w:hAnsi="Calibri"/>
          <w:sz w:val="22"/>
          <w:szCs w:val="22"/>
          <w:lang w:val="en-US" w:eastAsia="en-US"/>
        </w:rPr>
        <w:t xml:space="preserve">many </w:t>
      </w:r>
      <w:r w:rsidRPr="0098640B">
        <w:rPr>
          <w:rFonts w:ascii="Calibri" w:hAnsi="Calibri"/>
          <w:sz w:val="22"/>
          <w:szCs w:val="22"/>
          <w:lang w:val="en-US" w:eastAsia="en-US"/>
        </w:rPr>
        <w:t>W</w:t>
      </w:r>
      <w:r w:rsidR="00C044E3" w:rsidRPr="0098640B">
        <w:rPr>
          <w:rFonts w:ascii="Calibri" w:hAnsi="Calibri"/>
          <w:sz w:val="22"/>
          <w:szCs w:val="22"/>
          <w:lang w:val="en-US" w:eastAsia="en-US"/>
        </w:rPr>
        <w:t>estern-educated scholars we</w:t>
      </w:r>
      <w:r w:rsidR="00B50946" w:rsidRPr="0098640B">
        <w:rPr>
          <w:rFonts w:ascii="Calibri" w:hAnsi="Calibri"/>
          <w:sz w:val="22"/>
          <w:szCs w:val="22"/>
          <w:lang w:val="en-US" w:eastAsia="en-US"/>
        </w:rPr>
        <w:t>re interested in pursuing an academic career</w:t>
      </w:r>
      <w:r w:rsidR="00673B0C" w:rsidRPr="0098640B">
        <w:rPr>
          <w:rFonts w:ascii="Calibri" w:hAnsi="Calibri"/>
          <w:sz w:val="22"/>
          <w:szCs w:val="22"/>
          <w:lang w:val="en-US" w:eastAsia="en-US"/>
        </w:rPr>
        <w:t xml:space="preserve"> in their home countries</w:t>
      </w:r>
      <w:r w:rsidR="00B50946" w:rsidRPr="0098640B">
        <w:rPr>
          <w:rFonts w:ascii="Calibri" w:hAnsi="Calibri"/>
          <w:sz w:val="22"/>
          <w:szCs w:val="22"/>
          <w:lang w:val="en-US" w:eastAsia="en-US"/>
        </w:rPr>
        <w:t xml:space="preserve">. </w:t>
      </w:r>
    </w:p>
    <w:p w:rsidR="00B36650" w:rsidRPr="0098640B" w:rsidRDefault="00B36650" w:rsidP="00791A29">
      <w:pPr>
        <w:pStyle w:val="NormalWeb"/>
        <w:spacing w:before="0" w:beforeAutospacing="0" w:after="200" w:afterAutospacing="0"/>
        <w:jc w:val="both"/>
        <w:rPr>
          <w:rFonts w:ascii="Calibri" w:hAnsi="Calibri"/>
          <w:sz w:val="22"/>
          <w:szCs w:val="22"/>
          <w:lang w:val="en-US" w:eastAsia="en-US"/>
        </w:rPr>
      </w:pPr>
      <w:r w:rsidRPr="0098640B">
        <w:rPr>
          <w:rFonts w:ascii="Calibri" w:hAnsi="Calibri"/>
          <w:sz w:val="22"/>
          <w:szCs w:val="22"/>
          <w:lang w:val="en-US" w:eastAsia="en-US"/>
        </w:rPr>
        <w:t>On the other hand</w:t>
      </w:r>
      <w:r w:rsidR="00B50946" w:rsidRPr="0098640B">
        <w:rPr>
          <w:rFonts w:ascii="Calibri" w:hAnsi="Calibri"/>
          <w:sz w:val="22"/>
          <w:szCs w:val="22"/>
          <w:lang w:val="en-US" w:eastAsia="en-US"/>
        </w:rPr>
        <w:t>, i</w:t>
      </w:r>
      <w:r w:rsidR="005834FD" w:rsidRPr="0098640B">
        <w:rPr>
          <w:rFonts w:ascii="Calibri" w:hAnsi="Calibri"/>
          <w:sz w:val="22"/>
          <w:szCs w:val="22"/>
          <w:lang w:val="en-US" w:eastAsia="en-US"/>
        </w:rPr>
        <w:t xml:space="preserve">n </w:t>
      </w:r>
      <w:r w:rsidRPr="0098640B">
        <w:rPr>
          <w:rFonts w:ascii="Calibri" w:hAnsi="Calibri"/>
          <w:sz w:val="22"/>
          <w:szCs w:val="22"/>
          <w:lang w:val="en-US" w:eastAsia="en-US"/>
        </w:rPr>
        <w:t>Armenia</w:t>
      </w:r>
      <w:r w:rsidR="005111EC" w:rsidRPr="0098640B">
        <w:rPr>
          <w:rFonts w:ascii="Calibri" w:hAnsi="Calibri"/>
          <w:sz w:val="22"/>
          <w:szCs w:val="22"/>
          <w:lang w:val="en-US" w:eastAsia="en-US"/>
        </w:rPr>
        <w:t>,</w:t>
      </w:r>
      <w:r w:rsidRPr="0098640B">
        <w:rPr>
          <w:rFonts w:ascii="Calibri" w:hAnsi="Calibri"/>
          <w:sz w:val="22"/>
          <w:szCs w:val="22"/>
          <w:lang w:val="en-US" w:eastAsia="en-US"/>
        </w:rPr>
        <w:t xml:space="preserve"> </w:t>
      </w:r>
      <w:r w:rsidR="00CD7BB5" w:rsidRPr="0098640B">
        <w:rPr>
          <w:rFonts w:ascii="Calibri" w:hAnsi="Calibri"/>
          <w:sz w:val="22"/>
          <w:szCs w:val="22"/>
          <w:lang w:val="en-US" w:eastAsia="en-US"/>
        </w:rPr>
        <w:t>Azerbaijan</w:t>
      </w:r>
      <w:r w:rsidR="00C56D35" w:rsidRPr="0098640B">
        <w:rPr>
          <w:rFonts w:ascii="Calibri" w:hAnsi="Calibri"/>
          <w:sz w:val="22"/>
          <w:szCs w:val="22"/>
          <w:lang w:val="en-US" w:eastAsia="en-US"/>
        </w:rPr>
        <w:t xml:space="preserve">, </w:t>
      </w:r>
      <w:r w:rsidRPr="0098640B">
        <w:rPr>
          <w:rFonts w:ascii="Calibri" w:hAnsi="Calibri"/>
          <w:sz w:val="22"/>
          <w:szCs w:val="22"/>
          <w:lang w:val="en-US" w:eastAsia="en-US"/>
        </w:rPr>
        <w:t>Tajikistan</w:t>
      </w:r>
      <w:r w:rsidR="002C4766" w:rsidRPr="0098640B">
        <w:rPr>
          <w:rFonts w:ascii="Calibri" w:hAnsi="Calibri"/>
          <w:sz w:val="22"/>
          <w:szCs w:val="22"/>
          <w:lang w:val="en-US" w:eastAsia="en-US"/>
        </w:rPr>
        <w:t>,</w:t>
      </w:r>
      <w:r w:rsidRPr="0098640B">
        <w:rPr>
          <w:rFonts w:ascii="Calibri" w:hAnsi="Calibri"/>
          <w:sz w:val="22"/>
          <w:szCs w:val="22"/>
          <w:lang w:val="en-US" w:eastAsia="en-US"/>
        </w:rPr>
        <w:t xml:space="preserve"> Moldova</w:t>
      </w:r>
      <w:r w:rsidR="005834FD" w:rsidRPr="0098640B">
        <w:rPr>
          <w:rFonts w:ascii="Calibri" w:hAnsi="Calibri"/>
          <w:sz w:val="22"/>
          <w:szCs w:val="22"/>
          <w:lang w:val="en-US" w:eastAsia="en-US"/>
        </w:rPr>
        <w:t xml:space="preserve">, </w:t>
      </w:r>
      <w:r w:rsidR="00D83983" w:rsidRPr="0098640B">
        <w:rPr>
          <w:rFonts w:ascii="Calibri" w:hAnsi="Calibri"/>
          <w:sz w:val="22"/>
          <w:szCs w:val="22"/>
          <w:lang w:val="en-US" w:eastAsia="en-US"/>
        </w:rPr>
        <w:t>and Russia,</w:t>
      </w:r>
      <w:r w:rsidR="00C56D35" w:rsidRPr="0098640B">
        <w:rPr>
          <w:rFonts w:ascii="Calibri" w:hAnsi="Calibri"/>
          <w:sz w:val="22"/>
          <w:szCs w:val="22"/>
          <w:lang w:val="en-US" w:eastAsia="en-US"/>
        </w:rPr>
        <w:t xml:space="preserve"> public</w:t>
      </w:r>
      <w:r w:rsidR="005834FD" w:rsidRPr="0098640B">
        <w:rPr>
          <w:rFonts w:ascii="Calibri" w:hAnsi="Calibri"/>
          <w:sz w:val="22"/>
          <w:szCs w:val="22"/>
          <w:lang w:val="en-US" w:eastAsia="en-US"/>
        </w:rPr>
        <w:t xml:space="preserve"> unive</w:t>
      </w:r>
      <w:r w:rsidR="00C56D35" w:rsidRPr="0098640B">
        <w:rPr>
          <w:rFonts w:ascii="Calibri" w:hAnsi="Calibri"/>
          <w:sz w:val="22"/>
          <w:szCs w:val="22"/>
          <w:lang w:val="en-US" w:eastAsia="en-US"/>
        </w:rPr>
        <w:t xml:space="preserve">rsities are </w:t>
      </w:r>
      <w:r w:rsidR="003B2538" w:rsidRPr="0098640B">
        <w:rPr>
          <w:rFonts w:ascii="Calibri" w:hAnsi="Calibri"/>
          <w:sz w:val="22"/>
          <w:szCs w:val="22"/>
          <w:lang w:val="en-US" w:eastAsia="en-US"/>
        </w:rPr>
        <w:t>far less</w:t>
      </w:r>
      <w:r w:rsidR="005834FD" w:rsidRPr="0098640B">
        <w:rPr>
          <w:rFonts w:ascii="Calibri" w:hAnsi="Calibri"/>
          <w:sz w:val="22"/>
          <w:szCs w:val="22"/>
          <w:lang w:val="en-US" w:eastAsia="en-US"/>
        </w:rPr>
        <w:t xml:space="preserve"> keen </w:t>
      </w:r>
      <w:r w:rsidR="003B2538" w:rsidRPr="0098640B">
        <w:rPr>
          <w:rFonts w:ascii="Calibri" w:hAnsi="Calibri"/>
          <w:sz w:val="22"/>
          <w:szCs w:val="22"/>
          <w:lang w:val="en-US" w:eastAsia="en-US"/>
        </w:rPr>
        <w:t>to hire</w:t>
      </w:r>
      <w:r w:rsidR="005834FD" w:rsidRPr="0098640B">
        <w:rPr>
          <w:rFonts w:ascii="Calibri" w:hAnsi="Calibri"/>
          <w:sz w:val="22"/>
          <w:szCs w:val="22"/>
          <w:lang w:val="en-US" w:eastAsia="en-US"/>
        </w:rPr>
        <w:t xml:space="preserve"> scholars with </w:t>
      </w:r>
      <w:r w:rsidR="00E84125" w:rsidRPr="0098640B">
        <w:rPr>
          <w:rFonts w:ascii="Calibri" w:hAnsi="Calibri"/>
          <w:sz w:val="22"/>
          <w:szCs w:val="22"/>
          <w:lang w:val="en-US" w:eastAsia="en-US"/>
        </w:rPr>
        <w:t>W</w:t>
      </w:r>
      <w:r w:rsidR="005834FD" w:rsidRPr="0098640B">
        <w:rPr>
          <w:rFonts w:ascii="Calibri" w:hAnsi="Calibri"/>
          <w:sz w:val="22"/>
          <w:szCs w:val="22"/>
          <w:lang w:val="en-US" w:eastAsia="en-US"/>
        </w:rPr>
        <w:t>estern graduate degrees</w:t>
      </w:r>
      <w:r w:rsidR="00DD484B" w:rsidRPr="0098640B">
        <w:rPr>
          <w:rFonts w:ascii="Calibri" w:hAnsi="Calibri"/>
          <w:sz w:val="22"/>
          <w:szCs w:val="22"/>
          <w:lang w:val="en-US" w:eastAsia="en-US"/>
        </w:rPr>
        <w:t xml:space="preserve">. </w:t>
      </w:r>
      <w:r w:rsidR="003B2538" w:rsidRPr="00241F6F">
        <w:rPr>
          <w:rFonts w:ascii="Calibri" w:hAnsi="Calibri"/>
          <w:sz w:val="22"/>
          <w:szCs w:val="22"/>
          <w:lang w:val="en-US" w:eastAsia="en-US"/>
        </w:rPr>
        <w:t xml:space="preserve">Both AFP Returning Scholars and International Scholars </w:t>
      </w:r>
      <w:r w:rsidR="00057A31" w:rsidRPr="00241F6F">
        <w:rPr>
          <w:rFonts w:ascii="Calibri" w:hAnsi="Calibri"/>
          <w:sz w:val="22"/>
          <w:szCs w:val="22"/>
          <w:lang w:val="en-US" w:eastAsia="en-US"/>
        </w:rPr>
        <w:t xml:space="preserve">reported </w:t>
      </w:r>
      <w:r w:rsidR="008669E0" w:rsidRPr="00241F6F">
        <w:rPr>
          <w:rFonts w:ascii="Calibri" w:hAnsi="Calibri"/>
          <w:sz w:val="22"/>
          <w:szCs w:val="22"/>
          <w:lang w:val="en-US" w:eastAsia="en-US"/>
        </w:rPr>
        <w:t>being</w:t>
      </w:r>
      <w:r w:rsidR="00057A31" w:rsidRPr="00241F6F">
        <w:rPr>
          <w:rFonts w:ascii="Calibri" w:hAnsi="Calibri"/>
          <w:sz w:val="22"/>
          <w:szCs w:val="22"/>
          <w:lang w:val="en-US" w:eastAsia="en-US"/>
        </w:rPr>
        <w:t xml:space="preserve"> judged unfairly against local </w:t>
      </w:r>
      <w:r w:rsidR="000D566F" w:rsidRPr="00241F6F">
        <w:rPr>
          <w:rFonts w:ascii="Calibri" w:hAnsi="Calibri"/>
          <w:sz w:val="22"/>
          <w:szCs w:val="22"/>
          <w:lang w:val="en-US" w:eastAsia="en-US"/>
        </w:rPr>
        <w:t xml:space="preserve">academic </w:t>
      </w:r>
      <w:r w:rsidR="00057A31" w:rsidRPr="00241F6F">
        <w:rPr>
          <w:rFonts w:ascii="Calibri" w:hAnsi="Calibri"/>
          <w:sz w:val="22"/>
          <w:szCs w:val="22"/>
          <w:lang w:val="en-US" w:eastAsia="en-US"/>
        </w:rPr>
        <w:t>competition</w:t>
      </w:r>
      <w:r w:rsidR="00057A31" w:rsidRPr="0098640B">
        <w:rPr>
          <w:rFonts w:ascii="Calibri" w:hAnsi="Calibri"/>
          <w:sz w:val="22"/>
          <w:szCs w:val="22"/>
          <w:lang w:val="en-US" w:eastAsia="en-US"/>
        </w:rPr>
        <w:t>.</w:t>
      </w:r>
      <w:r w:rsidR="00DD484B" w:rsidRPr="0098640B">
        <w:rPr>
          <w:rFonts w:ascii="Calibri" w:hAnsi="Calibri"/>
          <w:sz w:val="22"/>
          <w:szCs w:val="22"/>
          <w:lang w:val="en-US" w:eastAsia="en-US"/>
        </w:rPr>
        <w:t xml:space="preserve"> </w:t>
      </w:r>
      <w:r w:rsidR="00E16571" w:rsidRPr="0098640B">
        <w:rPr>
          <w:rFonts w:ascii="Calibri" w:hAnsi="Calibri"/>
          <w:sz w:val="22"/>
          <w:szCs w:val="22"/>
          <w:lang w:val="en-US" w:eastAsia="en-US"/>
        </w:rPr>
        <w:t>Moreover</w:t>
      </w:r>
      <w:r w:rsidR="002C4766" w:rsidRPr="0098640B">
        <w:rPr>
          <w:rFonts w:ascii="Calibri" w:hAnsi="Calibri"/>
          <w:sz w:val="22"/>
          <w:szCs w:val="22"/>
          <w:lang w:val="en-US" w:eastAsia="en-US"/>
        </w:rPr>
        <w:t xml:space="preserve">, </w:t>
      </w:r>
      <w:r w:rsidR="003B651A" w:rsidRPr="0098640B">
        <w:rPr>
          <w:rFonts w:ascii="Calibri" w:hAnsi="Calibri"/>
          <w:bCs/>
          <w:sz w:val="22"/>
          <w:szCs w:val="22"/>
          <w:lang w:val="en-US" w:eastAsia="en-US"/>
        </w:rPr>
        <w:t>these countries’</w:t>
      </w:r>
      <w:r w:rsidR="002C4766" w:rsidRPr="0098640B">
        <w:rPr>
          <w:rFonts w:ascii="Calibri" w:hAnsi="Calibri"/>
          <w:bCs/>
          <w:sz w:val="22"/>
          <w:szCs w:val="22"/>
          <w:lang w:val="en-US" w:eastAsia="en-US"/>
        </w:rPr>
        <w:t xml:space="preserve"> largely unreformed higher education systems, with high teaching loads, low remuneration, poor work conditions, </w:t>
      </w:r>
      <w:r w:rsidR="0049366D">
        <w:rPr>
          <w:rFonts w:ascii="Calibri" w:hAnsi="Calibri"/>
          <w:bCs/>
          <w:sz w:val="22"/>
          <w:szCs w:val="22"/>
          <w:lang w:val="en-US" w:eastAsia="en-US"/>
        </w:rPr>
        <w:t>minimal</w:t>
      </w:r>
      <w:r w:rsidR="002C4766" w:rsidRPr="0098640B">
        <w:rPr>
          <w:rFonts w:ascii="Calibri" w:hAnsi="Calibri"/>
          <w:bCs/>
          <w:sz w:val="22"/>
          <w:szCs w:val="22"/>
          <w:lang w:val="en-US" w:eastAsia="en-US"/>
        </w:rPr>
        <w:t xml:space="preserve"> funding, and endemic corruption, </w:t>
      </w:r>
      <w:r w:rsidR="00E16571" w:rsidRPr="0098640B">
        <w:rPr>
          <w:rFonts w:ascii="Calibri" w:hAnsi="Calibri"/>
          <w:bCs/>
          <w:sz w:val="22"/>
          <w:szCs w:val="22"/>
          <w:lang w:val="en-US" w:eastAsia="en-US"/>
        </w:rPr>
        <w:t xml:space="preserve">make them </w:t>
      </w:r>
      <w:r w:rsidR="002C4766" w:rsidRPr="0098640B">
        <w:rPr>
          <w:rFonts w:ascii="Calibri" w:hAnsi="Calibri"/>
          <w:bCs/>
          <w:sz w:val="22"/>
          <w:szCs w:val="22"/>
          <w:lang w:val="en-US" w:eastAsia="en-US"/>
        </w:rPr>
        <w:t xml:space="preserve">unattractive employers for graduates of </w:t>
      </w:r>
      <w:r w:rsidR="00E16571" w:rsidRPr="0098640B">
        <w:rPr>
          <w:rFonts w:ascii="Calibri" w:hAnsi="Calibri"/>
          <w:bCs/>
          <w:sz w:val="22"/>
          <w:szCs w:val="22"/>
          <w:lang w:val="en-US" w:eastAsia="en-US"/>
        </w:rPr>
        <w:t>W</w:t>
      </w:r>
      <w:r w:rsidR="002C4766" w:rsidRPr="0098640B">
        <w:rPr>
          <w:rFonts w:ascii="Calibri" w:hAnsi="Calibri"/>
          <w:bCs/>
          <w:sz w:val="22"/>
          <w:szCs w:val="22"/>
          <w:lang w:val="en-US" w:eastAsia="en-US"/>
        </w:rPr>
        <w:t>e</w:t>
      </w:r>
      <w:r w:rsidR="00BD04A5" w:rsidRPr="0098640B">
        <w:rPr>
          <w:rFonts w:ascii="Calibri" w:hAnsi="Calibri"/>
          <w:bCs/>
          <w:sz w:val="22"/>
          <w:szCs w:val="22"/>
          <w:lang w:val="en-US" w:eastAsia="en-US"/>
        </w:rPr>
        <w:t>stern universities.</w:t>
      </w:r>
      <w:r w:rsidR="00D83983" w:rsidRPr="0098640B">
        <w:rPr>
          <w:rFonts w:ascii="Calibri" w:hAnsi="Calibri"/>
          <w:bCs/>
          <w:sz w:val="22"/>
          <w:szCs w:val="22"/>
          <w:lang w:val="en-US" w:eastAsia="en-US"/>
        </w:rPr>
        <w:t xml:space="preserve"> </w:t>
      </w:r>
      <w:r w:rsidR="006C79A1" w:rsidRPr="0098640B">
        <w:rPr>
          <w:rFonts w:ascii="Calibri" w:hAnsi="Calibri"/>
          <w:bCs/>
          <w:sz w:val="22"/>
          <w:szCs w:val="22"/>
          <w:lang w:val="en-US" w:eastAsia="en-US"/>
        </w:rPr>
        <w:t xml:space="preserve">This is further compounded by the fact that </w:t>
      </w:r>
      <w:r w:rsidR="002C4766" w:rsidRPr="0098640B">
        <w:rPr>
          <w:rFonts w:ascii="Calibri" w:hAnsi="Calibri"/>
          <w:bCs/>
          <w:sz w:val="22"/>
          <w:szCs w:val="22"/>
          <w:lang w:val="en-US" w:eastAsia="en-US"/>
        </w:rPr>
        <w:t xml:space="preserve">some of these countries still </w:t>
      </w:r>
      <w:r w:rsidR="006C79A1" w:rsidRPr="0098640B">
        <w:rPr>
          <w:rFonts w:ascii="Calibri" w:hAnsi="Calibri"/>
          <w:bCs/>
          <w:sz w:val="22"/>
          <w:szCs w:val="22"/>
          <w:lang w:val="en-US" w:eastAsia="en-US"/>
        </w:rPr>
        <w:t>refuse to</w:t>
      </w:r>
      <w:r w:rsidR="002C4766" w:rsidRPr="0098640B">
        <w:rPr>
          <w:rFonts w:ascii="Calibri" w:hAnsi="Calibri"/>
          <w:bCs/>
          <w:sz w:val="22"/>
          <w:szCs w:val="22"/>
          <w:lang w:val="en-US" w:eastAsia="en-US"/>
        </w:rPr>
        <w:t xml:space="preserve"> recognize </w:t>
      </w:r>
      <w:r w:rsidR="00E16571" w:rsidRPr="0098640B">
        <w:rPr>
          <w:rFonts w:ascii="Calibri" w:hAnsi="Calibri"/>
          <w:bCs/>
          <w:sz w:val="22"/>
          <w:szCs w:val="22"/>
          <w:lang w:val="en-US" w:eastAsia="en-US"/>
        </w:rPr>
        <w:t>W</w:t>
      </w:r>
      <w:r w:rsidR="006C79A1" w:rsidRPr="0098640B">
        <w:rPr>
          <w:rFonts w:ascii="Calibri" w:hAnsi="Calibri"/>
          <w:bCs/>
          <w:sz w:val="22"/>
          <w:szCs w:val="22"/>
          <w:lang w:val="en-US" w:eastAsia="en-US"/>
        </w:rPr>
        <w:t>estern graduate degrees</w:t>
      </w:r>
      <w:r w:rsidR="002C4766" w:rsidRPr="0098640B">
        <w:rPr>
          <w:rFonts w:ascii="Calibri" w:hAnsi="Calibri"/>
          <w:bCs/>
          <w:sz w:val="22"/>
          <w:szCs w:val="22"/>
          <w:lang w:val="en-US" w:eastAsia="en-US"/>
        </w:rPr>
        <w:t xml:space="preserve">. </w:t>
      </w:r>
      <w:r w:rsidR="00E16571" w:rsidRPr="0098640B">
        <w:rPr>
          <w:rFonts w:ascii="Calibri" w:hAnsi="Calibri"/>
          <w:bCs/>
          <w:sz w:val="22"/>
          <w:szCs w:val="22"/>
          <w:lang w:val="en-US" w:eastAsia="en-US"/>
        </w:rPr>
        <w:t>The</w:t>
      </w:r>
      <w:r w:rsidR="002C4766" w:rsidRPr="0098640B">
        <w:rPr>
          <w:rFonts w:ascii="Calibri" w:hAnsi="Calibri"/>
          <w:bCs/>
          <w:sz w:val="22"/>
          <w:szCs w:val="22"/>
          <w:lang w:val="en-US" w:eastAsia="en-US"/>
        </w:rPr>
        <w:t xml:space="preserve"> academics that do </w:t>
      </w:r>
      <w:r w:rsidR="00D740AB" w:rsidRPr="0098640B">
        <w:rPr>
          <w:rFonts w:ascii="Calibri" w:hAnsi="Calibri"/>
          <w:bCs/>
          <w:sz w:val="22"/>
          <w:szCs w:val="22"/>
          <w:lang w:val="en-US" w:eastAsia="en-US"/>
        </w:rPr>
        <w:t>return home</w:t>
      </w:r>
      <w:r w:rsidR="002C4766" w:rsidRPr="0098640B">
        <w:rPr>
          <w:rFonts w:ascii="Calibri" w:hAnsi="Calibri"/>
          <w:bCs/>
          <w:sz w:val="22"/>
          <w:szCs w:val="22"/>
          <w:lang w:val="en-US" w:eastAsia="en-US"/>
        </w:rPr>
        <w:t xml:space="preserve"> are </w:t>
      </w:r>
      <w:r w:rsidR="00D740AB" w:rsidRPr="0098640B">
        <w:rPr>
          <w:rFonts w:ascii="Calibri" w:hAnsi="Calibri"/>
          <w:bCs/>
          <w:sz w:val="22"/>
          <w:szCs w:val="22"/>
          <w:lang w:val="en-US" w:eastAsia="en-US"/>
        </w:rPr>
        <w:t xml:space="preserve">often </w:t>
      </w:r>
      <w:r w:rsidR="002C4766" w:rsidRPr="0098640B">
        <w:rPr>
          <w:rFonts w:ascii="Calibri" w:hAnsi="Calibri"/>
          <w:bCs/>
          <w:sz w:val="22"/>
          <w:szCs w:val="22"/>
          <w:lang w:val="en-US" w:eastAsia="en-US"/>
        </w:rPr>
        <w:t xml:space="preserve">forced to </w:t>
      </w:r>
      <w:r w:rsidR="00D740AB" w:rsidRPr="0098640B">
        <w:rPr>
          <w:rFonts w:ascii="Calibri" w:hAnsi="Calibri"/>
          <w:bCs/>
          <w:sz w:val="22"/>
          <w:szCs w:val="22"/>
          <w:lang w:val="en-US" w:eastAsia="en-US"/>
        </w:rPr>
        <w:t>toil</w:t>
      </w:r>
      <w:r w:rsidR="002C4766" w:rsidRPr="0098640B">
        <w:rPr>
          <w:rFonts w:ascii="Calibri" w:hAnsi="Calibri"/>
          <w:bCs/>
          <w:sz w:val="22"/>
          <w:szCs w:val="22"/>
          <w:lang w:val="en-US" w:eastAsia="en-US"/>
        </w:rPr>
        <w:t xml:space="preserve"> in entry-level positions and undergo a complicated and time-consuming degree</w:t>
      </w:r>
      <w:r w:rsidR="00AD13A4" w:rsidRPr="0098640B">
        <w:rPr>
          <w:rFonts w:ascii="Calibri" w:hAnsi="Calibri"/>
          <w:bCs/>
          <w:sz w:val="22"/>
          <w:szCs w:val="22"/>
          <w:lang w:val="en-US" w:eastAsia="en-US"/>
        </w:rPr>
        <w:t>-</w:t>
      </w:r>
      <w:r w:rsidR="002C4766" w:rsidRPr="0098640B">
        <w:rPr>
          <w:rFonts w:ascii="Calibri" w:hAnsi="Calibri"/>
          <w:bCs/>
          <w:sz w:val="22"/>
          <w:szCs w:val="22"/>
          <w:lang w:val="en-US" w:eastAsia="en-US"/>
        </w:rPr>
        <w:t>verification procedure.</w:t>
      </w:r>
      <w:r w:rsidRPr="0098640B">
        <w:rPr>
          <w:rFonts w:ascii="Calibri" w:hAnsi="Calibri"/>
          <w:bCs/>
          <w:sz w:val="22"/>
          <w:szCs w:val="22"/>
          <w:lang w:val="en-US" w:eastAsia="en-US"/>
        </w:rPr>
        <w:t xml:space="preserve"> </w:t>
      </w:r>
      <w:r w:rsidR="00004CBE" w:rsidRPr="0098640B">
        <w:rPr>
          <w:rFonts w:ascii="Calibri" w:hAnsi="Calibri"/>
          <w:bCs/>
          <w:sz w:val="22"/>
          <w:szCs w:val="22"/>
          <w:lang w:val="en-US" w:eastAsia="en-US"/>
        </w:rPr>
        <w:t xml:space="preserve">The </w:t>
      </w:r>
      <w:r w:rsidRPr="0098640B">
        <w:rPr>
          <w:rFonts w:ascii="Calibri" w:hAnsi="Calibri"/>
          <w:bCs/>
          <w:sz w:val="22"/>
          <w:szCs w:val="22"/>
          <w:lang w:val="en-US" w:eastAsia="en-US"/>
        </w:rPr>
        <w:t>lack</w:t>
      </w:r>
      <w:r w:rsidR="00004CBE" w:rsidRPr="0098640B">
        <w:rPr>
          <w:rFonts w:ascii="Calibri" w:hAnsi="Calibri"/>
          <w:bCs/>
          <w:sz w:val="22"/>
          <w:szCs w:val="22"/>
          <w:lang w:val="en-US" w:eastAsia="en-US"/>
        </w:rPr>
        <w:t xml:space="preserve"> of eligible candidates </w:t>
      </w:r>
      <w:r w:rsidR="00A0546F">
        <w:rPr>
          <w:rFonts w:ascii="Calibri" w:hAnsi="Calibri"/>
          <w:bCs/>
          <w:sz w:val="22"/>
          <w:szCs w:val="22"/>
          <w:lang w:val="en-US" w:eastAsia="en-US"/>
        </w:rPr>
        <w:t>willing to return to</w:t>
      </w:r>
      <w:r w:rsidRPr="0098640B">
        <w:rPr>
          <w:rFonts w:ascii="Calibri" w:hAnsi="Calibri"/>
          <w:bCs/>
          <w:sz w:val="22"/>
          <w:szCs w:val="22"/>
          <w:lang w:val="en-US" w:eastAsia="en-US"/>
        </w:rPr>
        <w:t xml:space="preserve"> </w:t>
      </w:r>
      <w:r w:rsidR="006D1AE5">
        <w:rPr>
          <w:rFonts w:ascii="Calibri" w:hAnsi="Calibri"/>
          <w:bCs/>
          <w:sz w:val="22"/>
          <w:szCs w:val="22"/>
          <w:lang w:val="en-US" w:eastAsia="en-US"/>
        </w:rPr>
        <w:t xml:space="preserve">such </w:t>
      </w:r>
      <w:r w:rsidRPr="0098640B">
        <w:rPr>
          <w:rFonts w:ascii="Calibri" w:hAnsi="Calibri"/>
          <w:bCs/>
          <w:sz w:val="22"/>
          <w:szCs w:val="22"/>
          <w:lang w:val="en-US" w:eastAsia="en-US"/>
        </w:rPr>
        <w:t>academi</w:t>
      </w:r>
      <w:r w:rsidR="00D740AB" w:rsidRPr="0098640B">
        <w:rPr>
          <w:rFonts w:ascii="Calibri" w:hAnsi="Calibri"/>
          <w:bCs/>
          <w:sz w:val="22"/>
          <w:szCs w:val="22"/>
          <w:lang w:val="en-US" w:eastAsia="en-US"/>
        </w:rPr>
        <w:t>c sphere</w:t>
      </w:r>
      <w:r w:rsidR="006D1AE5">
        <w:rPr>
          <w:rFonts w:ascii="Calibri" w:hAnsi="Calibri"/>
          <w:bCs/>
          <w:sz w:val="22"/>
          <w:szCs w:val="22"/>
          <w:lang w:val="en-US" w:eastAsia="en-US"/>
        </w:rPr>
        <w:t>s</w:t>
      </w:r>
      <w:r w:rsidRPr="0098640B">
        <w:rPr>
          <w:rFonts w:ascii="Calibri" w:hAnsi="Calibri"/>
          <w:bCs/>
          <w:sz w:val="22"/>
          <w:szCs w:val="22"/>
          <w:lang w:val="en-US" w:eastAsia="en-US"/>
        </w:rPr>
        <w:t xml:space="preserve"> </w:t>
      </w:r>
      <w:r w:rsidR="00004CBE" w:rsidRPr="0098640B">
        <w:rPr>
          <w:rFonts w:ascii="Calibri" w:hAnsi="Calibri"/>
          <w:bCs/>
          <w:sz w:val="22"/>
          <w:szCs w:val="22"/>
          <w:lang w:val="en-US" w:eastAsia="en-US"/>
        </w:rPr>
        <w:t>is the main reason why AFP</w:t>
      </w:r>
      <w:r w:rsidR="00182F9B" w:rsidRPr="0098640B">
        <w:rPr>
          <w:rFonts w:ascii="Calibri" w:hAnsi="Calibri"/>
          <w:bCs/>
          <w:sz w:val="22"/>
          <w:szCs w:val="22"/>
          <w:lang w:val="en-US" w:eastAsia="en-US"/>
        </w:rPr>
        <w:t xml:space="preserve"> has </w:t>
      </w:r>
      <w:r w:rsidR="00004CBE" w:rsidRPr="0098640B">
        <w:rPr>
          <w:rFonts w:ascii="Calibri" w:hAnsi="Calibri"/>
          <w:bCs/>
          <w:sz w:val="22"/>
          <w:szCs w:val="22"/>
          <w:lang w:val="en-US" w:eastAsia="en-US"/>
        </w:rPr>
        <w:t>support</w:t>
      </w:r>
      <w:r w:rsidR="00090C3F" w:rsidRPr="0098640B">
        <w:rPr>
          <w:rFonts w:ascii="Calibri" w:hAnsi="Calibri"/>
          <w:bCs/>
          <w:sz w:val="22"/>
          <w:szCs w:val="22"/>
          <w:lang w:val="en-US" w:eastAsia="en-US"/>
        </w:rPr>
        <w:t>ed</w:t>
      </w:r>
      <w:r w:rsidR="00333184" w:rsidRPr="0098640B">
        <w:rPr>
          <w:rFonts w:ascii="Calibri" w:hAnsi="Calibri"/>
          <w:bCs/>
          <w:sz w:val="22"/>
          <w:szCs w:val="22"/>
          <w:lang w:val="en-US" w:eastAsia="en-US"/>
        </w:rPr>
        <w:t xml:space="preserve"> </w:t>
      </w:r>
      <w:r w:rsidR="00E16571" w:rsidRPr="0098640B">
        <w:rPr>
          <w:rFonts w:ascii="Calibri" w:hAnsi="Calibri"/>
          <w:bCs/>
          <w:sz w:val="22"/>
          <w:szCs w:val="22"/>
          <w:lang w:val="en-US" w:eastAsia="en-US"/>
        </w:rPr>
        <w:t xml:space="preserve">comparatively </w:t>
      </w:r>
      <w:r w:rsidR="001E1A02" w:rsidRPr="0098640B">
        <w:rPr>
          <w:rFonts w:ascii="Calibri" w:hAnsi="Calibri"/>
          <w:bCs/>
          <w:sz w:val="22"/>
          <w:szCs w:val="22"/>
          <w:lang w:val="en-US" w:eastAsia="en-US"/>
        </w:rPr>
        <w:t>few</w:t>
      </w:r>
      <w:r w:rsidR="00004CBE" w:rsidRPr="0098640B">
        <w:rPr>
          <w:rFonts w:ascii="Calibri" w:hAnsi="Calibri"/>
          <w:bCs/>
          <w:sz w:val="22"/>
          <w:szCs w:val="22"/>
          <w:lang w:val="en-US" w:eastAsia="en-US"/>
        </w:rPr>
        <w:t xml:space="preserve"> departments</w:t>
      </w:r>
      <w:r w:rsidR="008B7033" w:rsidRPr="0098640B">
        <w:rPr>
          <w:rFonts w:ascii="Calibri" w:hAnsi="Calibri"/>
          <w:bCs/>
          <w:sz w:val="22"/>
          <w:szCs w:val="22"/>
          <w:lang w:val="en-US" w:eastAsia="en-US"/>
        </w:rPr>
        <w:t xml:space="preserve"> in </w:t>
      </w:r>
      <w:r w:rsidR="00333184" w:rsidRPr="0098640B">
        <w:rPr>
          <w:rFonts w:ascii="Calibri" w:hAnsi="Calibri"/>
          <w:bCs/>
          <w:sz w:val="22"/>
          <w:szCs w:val="22"/>
          <w:lang w:val="en-US" w:eastAsia="en-US"/>
        </w:rPr>
        <w:t>Armenia</w:t>
      </w:r>
      <w:r w:rsidR="001E1A02" w:rsidRPr="0098640B">
        <w:rPr>
          <w:rFonts w:ascii="Calibri" w:hAnsi="Calibri"/>
          <w:bCs/>
          <w:sz w:val="22"/>
          <w:szCs w:val="22"/>
          <w:lang w:val="en-US" w:eastAsia="en-US"/>
        </w:rPr>
        <w:t xml:space="preserve"> (3)</w:t>
      </w:r>
      <w:r w:rsidR="00333184" w:rsidRPr="0098640B">
        <w:rPr>
          <w:rFonts w:ascii="Calibri" w:hAnsi="Calibri"/>
          <w:bCs/>
          <w:sz w:val="22"/>
          <w:szCs w:val="22"/>
          <w:lang w:val="en-US" w:eastAsia="en-US"/>
        </w:rPr>
        <w:t xml:space="preserve">, </w:t>
      </w:r>
      <w:r w:rsidRPr="0098640B">
        <w:rPr>
          <w:rFonts w:ascii="Calibri" w:hAnsi="Calibri"/>
          <w:bCs/>
          <w:sz w:val="22"/>
          <w:szCs w:val="22"/>
          <w:lang w:val="en-US" w:eastAsia="en-US"/>
        </w:rPr>
        <w:t>Azerbaijan (</w:t>
      </w:r>
      <w:r w:rsidR="00701E5B">
        <w:rPr>
          <w:rFonts w:ascii="Calibri" w:hAnsi="Calibri"/>
          <w:bCs/>
          <w:sz w:val="22"/>
          <w:szCs w:val="22"/>
          <w:lang w:val="en-US" w:eastAsia="en-US"/>
        </w:rPr>
        <w:t>2</w:t>
      </w:r>
      <w:r w:rsidRPr="0098640B">
        <w:rPr>
          <w:rFonts w:ascii="Calibri" w:hAnsi="Calibri"/>
          <w:bCs/>
          <w:sz w:val="22"/>
          <w:szCs w:val="22"/>
          <w:lang w:val="en-US" w:eastAsia="en-US"/>
        </w:rPr>
        <w:t xml:space="preserve">), </w:t>
      </w:r>
      <w:r w:rsidR="00333184" w:rsidRPr="0098640B">
        <w:rPr>
          <w:rFonts w:ascii="Calibri" w:hAnsi="Calibri"/>
          <w:bCs/>
          <w:sz w:val="22"/>
          <w:szCs w:val="22"/>
          <w:lang w:val="en-US" w:eastAsia="en-US"/>
        </w:rPr>
        <w:t>Tajikistan</w:t>
      </w:r>
      <w:r w:rsidR="001E1A02" w:rsidRPr="0098640B">
        <w:rPr>
          <w:rFonts w:ascii="Calibri" w:hAnsi="Calibri"/>
          <w:bCs/>
          <w:sz w:val="22"/>
          <w:szCs w:val="22"/>
          <w:lang w:val="en-US" w:eastAsia="en-US"/>
        </w:rPr>
        <w:t xml:space="preserve"> (1)</w:t>
      </w:r>
      <w:r w:rsidR="00333184" w:rsidRPr="0098640B">
        <w:rPr>
          <w:rFonts w:ascii="Calibri" w:hAnsi="Calibri"/>
          <w:bCs/>
          <w:sz w:val="22"/>
          <w:szCs w:val="22"/>
          <w:lang w:val="en-US" w:eastAsia="en-US"/>
        </w:rPr>
        <w:t>, Russia</w:t>
      </w:r>
      <w:r w:rsidR="001E1A02" w:rsidRPr="0098640B">
        <w:rPr>
          <w:rFonts w:ascii="Calibri" w:hAnsi="Calibri"/>
          <w:bCs/>
          <w:sz w:val="22"/>
          <w:szCs w:val="22"/>
          <w:lang w:val="en-US" w:eastAsia="en-US"/>
        </w:rPr>
        <w:t xml:space="preserve"> (</w:t>
      </w:r>
      <w:r w:rsidRPr="0098640B">
        <w:rPr>
          <w:rFonts w:ascii="Calibri" w:hAnsi="Calibri"/>
          <w:bCs/>
          <w:sz w:val="22"/>
          <w:szCs w:val="22"/>
          <w:lang w:val="en-US" w:eastAsia="en-US"/>
        </w:rPr>
        <w:t>4</w:t>
      </w:r>
      <w:r w:rsidR="001E1A02" w:rsidRPr="0098640B">
        <w:rPr>
          <w:rFonts w:ascii="Calibri" w:hAnsi="Calibri"/>
          <w:bCs/>
          <w:sz w:val="22"/>
          <w:szCs w:val="22"/>
          <w:lang w:val="en-US" w:eastAsia="en-US"/>
        </w:rPr>
        <w:t>)</w:t>
      </w:r>
      <w:r w:rsidR="00333184" w:rsidRPr="0098640B">
        <w:rPr>
          <w:rFonts w:ascii="Calibri" w:hAnsi="Calibri"/>
          <w:bCs/>
          <w:sz w:val="22"/>
          <w:szCs w:val="22"/>
          <w:lang w:val="en-US" w:eastAsia="en-US"/>
        </w:rPr>
        <w:t>, and Moldova</w:t>
      </w:r>
      <w:r w:rsidR="001E1A02" w:rsidRPr="0098640B">
        <w:rPr>
          <w:rFonts w:ascii="Calibri" w:hAnsi="Calibri"/>
          <w:bCs/>
          <w:sz w:val="22"/>
          <w:szCs w:val="22"/>
          <w:lang w:val="en-US" w:eastAsia="en-US"/>
        </w:rPr>
        <w:t xml:space="preserve"> (3) </w:t>
      </w:r>
      <w:r w:rsidR="00182F9B" w:rsidRPr="0098640B">
        <w:rPr>
          <w:rFonts w:ascii="Calibri" w:hAnsi="Calibri"/>
          <w:bCs/>
          <w:sz w:val="22"/>
          <w:szCs w:val="22"/>
          <w:lang w:val="en-US" w:eastAsia="en-US"/>
        </w:rPr>
        <w:t>on a long-term basis</w:t>
      </w:r>
      <w:r w:rsidR="00333184" w:rsidRPr="0098640B">
        <w:rPr>
          <w:rFonts w:ascii="Calibri" w:hAnsi="Calibri"/>
          <w:bCs/>
          <w:sz w:val="22"/>
          <w:szCs w:val="22"/>
          <w:lang w:val="en-US" w:eastAsia="en-US"/>
        </w:rPr>
        <w:t xml:space="preserve">. </w:t>
      </w:r>
      <w:r w:rsidR="00182F9B" w:rsidRPr="0098640B">
        <w:rPr>
          <w:rFonts w:ascii="Calibri" w:hAnsi="Calibri"/>
          <w:bCs/>
          <w:sz w:val="22"/>
          <w:szCs w:val="22"/>
          <w:lang w:val="en-US" w:eastAsia="en-US"/>
        </w:rPr>
        <w:t xml:space="preserve">In Russia, </w:t>
      </w:r>
      <w:r w:rsidR="00E16571" w:rsidRPr="0098640B">
        <w:rPr>
          <w:rFonts w:ascii="Calibri" w:hAnsi="Calibri"/>
          <w:bCs/>
          <w:sz w:val="22"/>
          <w:szCs w:val="22"/>
          <w:lang w:val="en-US" w:eastAsia="en-US"/>
        </w:rPr>
        <w:t xml:space="preserve">AFP </w:t>
      </w:r>
      <w:r w:rsidR="00DA4BA3" w:rsidRPr="0098640B">
        <w:rPr>
          <w:rFonts w:ascii="Calibri" w:hAnsi="Calibri"/>
          <w:bCs/>
          <w:sz w:val="22"/>
          <w:szCs w:val="22"/>
          <w:lang w:val="en-US" w:eastAsia="en-US"/>
        </w:rPr>
        <w:t>originally</w:t>
      </w:r>
      <w:r w:rsidR="00004CBE" w:rsidRPr="0098640B">
        <w:rPr>
          <w:rFonts w:ascii="Calibri" w:hAnsi="Calibri"/>
          <w:bCs/>
          <w:sz w:val="22"/>
          <w:szCs w:val="22"/>
          <w:lang w:val="en-US" w:eastAsia="en-US"/>
        </w:rPr>
        <w:t xml:space="preserve"> work</w:t>
      </w:r>
      <w:r w:rsidR="00AD13A4" w:rsidRPr="0098640B">
        <w:rPr>
          <w:rFonts w:ascii="Calibri" w:hAnsi="Calibri"/>
          <w:bCs/>
          <w:sz w:val="22"/>
          <w:szCs w:val="22"/>
          <w:lang w:val="en-US" w:eastAsia="en-US"/>
        </w:rPr>
        <w:t>ed</w:t>
      </w:r>
      <w:r w:rsidR="00004CBE" w:rsidRPr="0098640B">
        <w:rPr>
          <w:rFonts w:ascii="Calibri" w:hAnsi="Calibri"/>
          <w:bCs/>
          <w:sz w:val="22"/>
          <w:szCs w:val="22"/>
          <w:lang w:val="en-US" w:eastAsia="en-US"/>
        </w:rPr>
        <w:t xml:space="preserve"> with </w:t>
      </w:r>
      <w:r w:rsidR="00182F9B" w:rsidRPr="0098640B">
        <w:rPr>
          <w:rFonts w:ascii="Calibri" w:hAnsi="Calibri"/>
          <w:bCs/>
          <w:sz w:val="22"/>
          <w:szCs w:val="22"/>
          <w:lang w:val="en-US" w:eastAsia="en-US"/>
        </w:rPr>
        <w:t>seven</w:t>
      </w:r>
      <w:r w:rsidR="00E16571" w:rsidRPr="0098640B">
        <w:rPr>
          <w:rFonts w:ascii="Calibri" w:hAnsi="Calibri"/>
          <w:bCs/>
          <w:sz w:val="22"/>
          <w:szCs w:val="22"/>
          <w:lang w:val="en-US" w:eastAsia="en-US"/>
        </w:rPr>
        <w:t xml:space="preserve"> </w:t>
      </w:r>
      <w:r w:rsidR="00AD13A4" w:rsidRPr="0098640B">
        <w:rPr>
          <w:rFonts w:ascii="Calibri" w:hAnsi="Calibri"/>
          <w:bCs/>
          <w:sz w:val="22"/>
          <w:szCs w:val="22"/>
          <w:lang w:val="en-US" w:eastAsia="en-US"/>
        </w:rPr>
        <w:t>additional</w:t>
      </w:r>
      <w:r w:rsidR="00182F9B" w:rsidRPr="0098640B">
        <w:rPr>
          <w:rFonts w:ascii="Calibri" w:hAnsi="Calibri"/>
          <w:bCs/>
          <w:sz w:val="22"/>
          <w:szCs w:val="22"/>
          <w:lang w:val="en-US" w:eastAsia="en-US"/>
        </w:rPr>
        <w:t xml:space="preserve"> departments</w:t>
      </w:r>
      <w:r w:rsidR="00297CBB" w:rsidRPr="0098640B">
        <w:rPr>
          <w:rFonts w:ascii="Calibri" w:hAnsi="Calibri"/>
          <w:bCs/>
          <w:sz w:val="22"/>
          <w:szCs w:val="22"/>
          <w:lang w:val="en-US" w:eastAsia="en-US"/>
        </w:rPr>
        <w:t xml:space="preserve"> </w:t>
      </w:r>
      <w:r w:rsidR="007730D2" w:rsidRPr="0098640B">
        <w:rPr>
          <w:rFonts w:ascii="Calibri" w:hAnsi="Calibri"/>
          <w:bCs/>
          <w:sz w:val="22"/>
          <w:szCs w:val="22"/>
          <w:lang w:val="en-US" w:eastAsia="en-US"/>
        </w:rPr>
        <w:t>but</w:t>
      </w:r>
      <w:r w:rsidR="00E16571" w:rsidRPr="0098640B">
        <w:rPr>
          <w:rFonts w:ascii="Calibri" w:hAnsi="Calibri"/>
          <w:bCs/>
          <w:sz w:val="22"/>
          <w:szCs w:val="22"/>
          <w:lang w:val="en-US" w:eastAsia="en-US"/>
        </w:rPr>
        <w:t xml:space="preserve"> </w:t>
      </w:r>
      <w:r w:rsidR="00DA4BA3" w:rsidRPr="0098640B">
        <w:rPr>
          <w:rFonts w:ascii="Calibri" w:hAnsi="Calibri"/>
          <w:bCs/>
          <w:sz w:val="22"/>
          <w:szCs w:val="22"/>
          <w:lang w:val="en-US" w:eastAsia="en-US"/>
        </w:rPr>
        <w:t>for</w:t>
      </w:r>
      <w:r w:rsidRPr="0098640B">
        <w:rPr>
          <w:rFonts w:ascii="Calibri" w:hAnsi="Calibri"/>
          <w:bCs/>
          <w:sz w:val="22"/>
          <w:szCs w:val="22"/>
          <w:lang w:val="en-US" w:eastAsia="en-US"/>
        </w:rPr>
        <w:t xml:space="preserve"> the reasons indicated </w:t>
      </w:r>
      <w:r w:rsidR="0049366D">
        <w:rPr>
          <w:rFonts w:ascii="Calibri" w:hAnsi="Calibri"/>
          <w:bCs/>
          <w:sz w:val="22"/>
          <w:szCs w:val="22"/>
          <w:lang w:val="en-US" w:eastAsia="en-US"/>
        </w:rPr>
        <w:t xml:space="preserve">above </w:t>
      </w:r>
      <w:r w:rsidR="00DA4BA3" w:rsidRPr="0098640B">
        <w:rPr>
          <w:rFonts w:ascii="Calibri" w:hAnsi="Calibri"/>
          <w:bCs/>
          <w:sz w:val="22"/>
          <w:szCs w:val="22"/>
          <w:lang w:val="en-US" w:eastAsia="en-US"/>
        </w:rPr>
        <w:t>many of these partnerships were short lived</w:t>
      </w:r>
      <w:r w:rsidR="00004CBE" w:rsidRPr="0098640B">
        <w:rPr>
          <w:rFonts w:ascii="Calibri" w:hAnsi="Calibri"/>
          <w:bCs/>
          <w:sz w:val="22"/>
          <w:szCs w:val="22"/>
          <w:lang w:val="en-US" w:eastAsia="en-US"/>
        </w:rPr>
        <w:t xml:space="preserve">.  </w:t>
      </w:r>
    </w:p>
    <w:p w:rsidR="00004CBE" w:rsidRDefault="00A21FAD" w:rsidP="00791A29">
      <w:pPr>
        <w:pStyle w:val="NormalWeb"/>
        <w:spacing w:before="0" w:beforeAutospacing="0" w:after="200" w:afterAutospacing="0"/>
        <w:jc w:val="both"/>
        <w:rPr>
          <w:rFonts w:ascii="Calibri" w:hAnsi="Calibri" w:cs="Calibri"/>
          <w:sz w:val="22"/>
          <w:szCs w:val="22"/>
          <w:lang w:val="en-US"/>
        </w:rPr>
      </w:pPr>
      <w:r w:rsidRPr="0098640B">
        <w:rPr>
          <w:rFonts w:ascii="Calibri" w:hAnsi="Calibri" w:cs="Calibri"/>
          <w:sz w:val="22"/>
          <w:szCs w:val="22"/>
          <w:lang w:val="en-US"/>
        </w:rPr>
        <w:t>I</w:t>
      </w:r>
      <w:r w:rsidR="007307C4" w:rsidRPr="0098640B">
        <w:rPr>
          <w:rFonts w:ascii="Calibri" w:hAnsi="Calibri" w:cs="Calibri"/>
          <w:sz w:val="22"/>
          <w:szCs w:val="22"/>
          <w:lang w:val="en-US"/>
        </w:rPr>
        <w:t xml:space="preserve">n Russia, our efforts were further hindered by </w:t>
      </w:r>
      <w:r w:rsidRPr="0098640B">
        <w:rPr>
          <w:rFonts w:ascii="Calibri" w:hAnsi="Calibri" w:cs="Calibri"/>
          <w:sz w:val="22"/>
          <w:szCs w:val="22"/>
          <w:lang w:val="en-US"/>
        </w:rPr>
        <w:t xml:space="preserve">the reluctance of </w:t>
      </w:r>
      <w:r w:rsidR="007307C4" w:rsidRPr="0098640B">
        <w:rPr>
          <w:rFonts w:ascii="Calibri" w:hAnsi="Calibri" w:cs="Calibri"/>
          <w:sz w:val="22"/>
          <w:szCs w:val="22"/>
          <w:lang w:val="en-US"/>
        </w:rPr>
        <w:t>R</w:t>
      </w:r>
      <w:r w:rsidRPr="0098640B">
        <w:rPr>
          <w:rFonts w:ascii="Calibri" w:hAnsi="Calibri" w:cs="Calibri"/>
          <w:sz w:val="22"/>
          <w:szCs w:val="22"/>
          <w:lang w:val="en-US"/>
        </w:rPr>
        <w:t>eturning Scholar candidates</w:t>
      </w:r>
      <w:r w:rsidR="007307C4" w:rsidRPr="0098640B">
        <w:rPr>
          <w:rFonts w:ascii="Calibri" w:hAnsi="Calibri" w:cs="Calibri"/>
          <w:sz w:val="22"/>
          <w:szCs w:val="22"/>
          <w:lang w:val="en-US"/>
        </w:rPr>
        <w:t xml:space="preserve"> to </w:t>
      </w:r>
      <w:r w:rsidR="0042067E" w:rsidRPr="0098640B">
        <w:rPr>
          <w:rFonts w:ascii="Calibri" w:hAnsi="Calibri" w:cs="Calibri"/>
          <w:sz w:val="22"/>
          <w:szCs w:val="22"/>
          <w:lang w:val="en-US"/>
        </w:rPr>
        <w:t>receive fund</w:t>
      </w:r>
      <w:r w:rsidRPr="0098640B">
        <w:rPr>
          <w:rFonts w:ascii="Calibri" w:hAnsi="Calibri" w:cs="Calibri"/>
          <w:sz w:val="22"/>
          <w:szCs w:val="22"/>
          <w:lang w:val="en-US"/>
        </w:rPr>
        <w:t>ing</w:t>
      </w:r>
      <w:r w:rsidR="0042067E" w:rsidRPr="0098640B">
        <w:rPr>
          <w:rFonts w:ascii="Calibri" w:hAnsi="Calibri" w:cs="Calibri"/>
          <w:sz w:val="22"/>
          <w:szCs w:val="22"/>
          <w:lang w:val="en-US"/>
        </w:rPr>
        <w:t xml:space="preserve"> </w:t>
      </w:r>
      <w:r w:rsidRPr="0098640B">
        <w:rPr>
          <w:rFonts w:ascii="Calibri" w:hAnsi="Calibri" w:cs="Calibri"/>
          <w:sz w:val="22"/>
          <w:szCs w:val="22"/>
          <w:lang w:val="en-US"/>
        </w:rPr>
        <w:t xml:space="preserve">from </w:t>
      </w:r>
      <w:r w:rsidR="0042067E" w:rsidRPr="0098640B">
        <w:rPr>
          <w:rFonts w:ascii="Calibri" w:hAnsi="Calibri" w:cs="Calibri"/>
          <w:sz w:val="22"/>
          <w:szCs w:val="22"/>
          <w:lang w:val="en-US"/>
        </w:rPr>
        <w:t xml:space="preserve">or </w:t>
      </w:r>
      <w:r w:rsidR="001511E7">
        <w:rPr>
          <w:rFonts w:ascii="Calibri" w:hAnsi="Calibri" w:cs="Calibri"/>
          <w:sz w:val="22"/>
          <w:szCs w:val="22"/>
          <w:lang w:val="en-US"/>
        </w:rPr>
        <w:t xml:space="preserve">to </w:t>
      </w:r>
      <w:r w:rsidR="0042067E" w:rsidRPr="0098640B">
        <w:rPr>
          <w:rFonts w:ascii="Calibri" w:hAnsi="Calibri" w:cs="Calibri"/>
          <w:sz w:val="22"/>
          <w:szCs w:val="22"/>
          <w:lang w:val="en-US"/>
        </w:rPr>
        <w:t xml:space="preserve">be associated with </w:t>
      </w:r>
      <w:r w:rsidRPr="0098640B">
        <w:rPr>
          <w:rFonts w:ascii="Calibri" w:hAnsi="Calibri" w:cs="Calibri"/>
          <w:sz w:val="22"/>
          <w:szCs w:val="22"/>
          <w:lang w:val="en-US"/>
        </w:rPr>
        <w:t>OSF</w:t>
      </w:r>
      <w:r w:rsidR="004B70C8" w:rsidRPr="0098640B">
        <w:rPr>
          <w:rFonts w:ascii="Calibri" w:hAnsi="Calibri" w:cs="Calibri"/>
          <w:sz w:val="22"/>
          <w:szCs w:val="22"/>
          <w:lang w:val="en-US"/>
        </w:rPr>
        <w:t xml:space="preserve">. </w:t>
      </w:r>
      <w:r w:rsidR="00585CCB" w:rsidRPr="0098640B">
        <w:rPr>
          <w:rFonts w:ascii="Calibri" w:hAnsi="Calibri" w:cs="Calibri"/>
          <w:sz w:val="22"/>
          <w:szCs w:val="22"/>
          <w:lang w:val="en-US"/>
        </w:rPr>
        <w:t xml:space="preserve">This trend </w:t>
      </w:r>
      <w:r w:rsidR="0015289C" w:rsidRPr="0098640B">
        <w:rPr>
          <w:rFonts w:ascii="Calibri" w:hAnsi="Calibri" w:cs="Calibri"/>
          <w:sz w:val="22"/>
          <w:szCs w:val="22"/>
          <w:lang w:val="en-US"/>
        </w:rPr>
        <w:t>increased</w:t>
      </w:r>
      <w:r w:rsidR="00585CCB" w:rsidRPr="0098640B">
        <w:rPr>
          <w:rFonts w:ascii="Calibri" w:hAnsi="Calibri" w:cs="Calibri"/>
          <w:sz w:val="22"/>
          <w:szCs w:val="22"/>
          <w:lang w:val="en-US"/>
        </w:rPr>
        <w:t xml:space="preserve"> from</w:t>
      </w:r>
      <w:r w:rsidR="004B70C8" w:rsidRPr="0098640B">
        <w:rPr>
          <w:rFonts w:ascii="Calibri" w:hAnsi="Calibri" w:cs="Calibri"/>
          <w:sz w:val="22"/>
          <w:szCs w:val="22"/>
          <w:lang w:val="en-US"/>
        </w:rPr>
        <w:t xml:space="preserve"> </w:t>
      </w:r>
      <w:r w:rsidR="00A0546F">
        <w:rPr>
          <w:rFonts w:ascii="Calibri" w:hAnsi="Calibri" w:cs="Calibri"/>
          <w:sz w:val="22"/>
          <w:szCs w:val="22"/>
          <w:lang w:val="en-US"/>
        </w:rPr>
        <w:t xml:space="preserve">the </w:t>
      </w:r>
      <w:r w:rsidR="004B70C8" w:rsidRPr="0098640B">
        <w:rPr>
          <w:rFonts w:ascii="Calibri" w:hAnsi="Calibri" w:cs="Calibri"/>
          <w:sz w:val="22"/>
          <w:szCs w:val="22"/>
          <w:lang w:val="en-US"/>
        </w:rPr>
        <w:t>2008</w:t>
      </w:r>
      <w:r w:rsidR="00DB1EE0">
        <w:rPr>
          <w:rFonts w:ascii="Calibri" w:hAnsi="Calibri" w:cs="Calibri"/>
          <w:sz w:val="22"/>
          <w:szCs w:val="22"/>
          <w:lang w:val="en-US"/>
        </w:rPr>
        <w:t>/09 academic year</w:t>
      </w:r>
      <w:r w:rsidR="00585CCB" w:rsidRPr="0098640B">
        <w:rPr>
          <w:rFonts w:ascii="Calibri" w:hAnsi="Calibri" w:cs="Calibri"/>
          <w:sz w:val="22"/>
          <w:szCs w:val="22"/>
          <w:lang w:val="en-US"/>
        </w:rPr>
        <w:t xml:space="preserve"> onwards</w:t>
      </w:r>
      <w:r w:rsidR="00BD3D51" w:rsidRPr="0098640B">
        <w:rPr>
          <w:rFonts w:ascii="Calibri" w:hAnsi="Calibri" w:cs="Calibri"/>
          <w:sz w:val="22"/>
          <w:szCs w:val="22"/>
          <w:lang w:val="en-US"/>
        </w:rPr>
        <w:t>.</w:t>
      </w:r>
      <w:r w:rsidR="004D5D68" w:rsidRPr="0098640B">
        <w:rPr>
          <w:rFonts w:ascii="Calibri" w:hAnsi="Calibri" w:cs="Calibri"/>
          <w:sz w:val="22"/>
          <w:szCs w:val="22"/>
          <w:lang w:val="en-US"/>
        </w:rPr>
        <w:t xml:space="preserve"> </w:t>
      </w:r>
      <w:r w:rsidR="00884690" w:rsidRPr="0098640B">
        <w:rPr>
          <w:rFonts w:ascii="Calibri" w:hAnsi="Calibri" w:cs="Calibri"/>
          <w:sz w:val="22"/>
          <w:szCs w:val="22"/>
          <w:lang w:val="en-US"/>
        </w:rPr>
        <w:t xml:space="preserve">That year, for example, </w:t>
      </w:r>
      <w:r w:rsidR="001511E7">
        <w:rPr>
          <w:rFonts w:ascii="Calibri" w:hAnsi="Calibri" w:cs="Calibri"/>
          <w:sz w:val="22"/>
          <w:szCs w:val="22"/>
          <w:lang w:val="en-US"/>
        </w:rPr>
        <w:t>three</w:t>
      </w:r>
      <w:r w:rsidR="00884690" w:rsidRPr="0098640B">
        <w:rPr>
          <w:rFonts w:ascii="Calibri" w:hAnsi="Calibri" w:cs="Calibri"/>
          <w:sz w:val="22"/>
          <w:szCs w:val="22"/>
          <w:lang w:val="en-US"/>
        </w:rPr>
        <w:t xml:space="preserve"> Returning Scholar candidates for </w:t>
      </w:r>
      <w:r w:rsidR="001406B4" w:rsidRPr="0098640B">
        <w:rPr>
          <w:rFonts w:ascii="Calibri" w:hAnsi="Calibri" w:cs="Calibri"/>
          <w:sz w:val="22"/>
          <w:szCs w:val="22"/>
          <w:lang w:val="en-US"/>
        </w:rPr>
        <w:t>the Department of International Relations at Nizhniy Novgorod State University</w:t>
      </w:r>
      <w:r w:rsidR="00884690" w:rsidRPr="0098640B">
        <w:rPr>
          <w:rFonts w:ascii="Calibri" w:hAnsi="Calibri" w:cs="Calibri"/>
          <w:sz w:val="22"/>
          <w:szCs w:val="22"/>
          <w:lang w:val="en-US"/>
        </w:rPr>
        <w:t xml:space="preserve"> refused association with AFP</w:t>
      </w:r>
      <w:r w:rsidR="001511E7">
        <w:rPr>
          <w:rFonts w:ascii="Calibri" w:hAnsi="Calibri" w:cs="Calibri"/>
          <w:sz w:val="22"/>
          <w:szCs w:val="22"/>
          <w:lang w:val="en-US"/>
        </w:rPr>
        <w:t>,</w:t>
      </w:r>
      <w:r w:rsidR="00022DBE" w:rsidRPr="0098640B">
        <w:rPr>
          <w:rFonts w:ascii="Calibri" w:hAnsi="Calibri" w:cs="Calibri"/>
          <w:sz w:val="22"/>
          <w:szCs w:val="22"/>
          <w:lang w:val="en-US"/>
        </w:rPr>
        <w:t xml:space="preserve"> noting that</w:t>
      </w:r>
      <w:r w:rsidR="00EC00BF" w:rsidRPr="0098640B">
        <w:rPr>
          <w:rFonts w:ascii="Calibri" w:hAnsi="Calibri" w:cs="Calibri"/>
          <w:sz w:val="22"/>
          <w:szCs w:val="22"/>
          <w:lang w:val="en-US"/>
        </w:rPr>
        <w:t xml:space="preserve"> </w:t>
      </w:r>
      <w:r w:rsidR="004E39BF" w:rsidRPr="0098640B">
        <w:rPr>
          <w:rFonts w:ascii="Calibri" w:hAnsi="Calibri" w:cs="Calibri"/>
          <w:sz w:val="22"/>
          <w:szCs w:val="22"/>
          <w:lang w:val="en-US"/>
        </w:rPr>
        <w:t>OSF</w:t>
      </w:r>
      <w:r w:rsidR="00022DBE" w:rsidRPr="0098640B">
        <w:rPr>
          <w:rFonts w:ascii="Calibri" w:hAnsi="Calibri" w:cs="Calibri"/>
          <w:sz w:val="22"/>
          <w:szCs w:val="22"/>
          <w:lang w:val="en-US"/>
        </w:rPr>
        <w:t xml:space="preserve"> fellowship</w:t>
      </w:r>
      <w:r w:rsidR="00B013C9" w:rsidRPr="0098640B">
        <w:rPr>
          <w:rFonts w:ascii="Calibri" w:hAnsi="Calibri" w:cs="Calibri"/>
          <w:sz w:val="22"/>
          <w:szCs w:val="22"/>
          <w:lang w:val="en-US"/>
        </w:rPr>
        <w:t xml:space="preserve"> recipients</w:t>
      </w:r>
      <w:r w:rsidR="00004CBE" w:rsidRPr="0098640B">
        <w:rPr>
          <w:rFonts w:ascii="Calibri" w:hAnsi="Calibri" w:cs="Calibri"/>
          <w:sz w:val="22"/>
          <w:szCs w:val="22"/>
          <w:lang w:val="en-US"/>
        </w:rPr>
        <w:t xml:space="preserve"> would jeopardize their c</w:t>
      </w:r>
      <w:r w:rsidR="004E39BF" w:rsidRPr="0098640B">
        <w:rPr>
          <w:rFonts w:ascii="Calibri" w:hAnsi="Calibri" w:cs="Calibri"/>
          <w:sz w:val="22"/>
          <w:szCs w:val="22"/>
          <w:lang w:val="en-US"/>
        </w:rPr>
        <w:t>hances of securing federal funding</w:t>
      </w:r>
      <w:r w:rsidR="00004CBE" w:rsidRPr="0098640B">
        <w:rPr>
          <w:rFonts w:ascii="Calibri" w:hAnsi="Calibri" w:cs="Calibri"/>
          <w:sz w:val="22"/>
          <w:szCs w:val="22"/>
          <w:lang w:val="en-US"/>
        </w:rPr>
        <w:t xml:space="preserve"> from the Russian government.</w:t>
      </w:r>
      <w:r w:rsidR="00E55643" w:rsidRPr="0098640B">
        <w:rPr>
          <w:rFonts w:ascii="Calibri" w:hAnsi="Calibri" w:cs="Calibri"/>
          <w:sz w:val="22"/>
          <w:szCs w:val="22"/>
          <w:lang w:val="en-US"/>
        </w:rPr>
        <w:t xml:space="preserve"> </w:t>
      </w:r>
      <w:r w:rsidR="005111EC" w:rsidRPr="0098640B">
        <w:rPr>
          <w:rFonts w:ascii="Calibri" w:hAnsi="Calibri" w:cs="Calibri"/>
          <w:sz w:val="22"/>
          <w:szCs w:val="22"/>
          <w:lang w:val="en-US"/>
        </w:rPr>
        <w:t xml:space="preserve">Russia’s </w:t>
      </w:r>
      <w:r w:rsidR="00DF62B2" w:rsidRPr="0098640B">
        <w:rPr>
          <w:rFonts w:ascii="Calibri" w:hAnsi="Calibri" w:cs="Calibri"/>
          <w:sz w:val="22"/>
          <w:szCs w:val="22"/>
          <w:lang w:val="en-US"/>
        </w:rPr>
        <w:t>crackdown on foreign funding sources</w:t>
      </w:r>
      <w:r w:rsidR="001E20F0" w:rsidRPr="0098640B">
        <w:rPr>
          <w:rFonts w:ascii="Calibri" w:hAnsi="Calibri" w:cs="Calibri"/>
          <w:sz w:val="22"/>
          <w:szCs w:val="22"/>
          <w:lang w:val="en-US"/>
        </w:rPr>
        <w:t xml:space="preserve"> has only aggravated the situation </w:t>
      </w:r>
      <w:r w:rsidR="00112BCA" w:rsidRPr="0098640B">
        <w:rPr>
          <w:rFonts w:ascii="Calibri" w:hAnsi="Calibri" w:cs="Calibri"/>
          <w:sz w:val="22"/>
          <w:szCs w:val="22"/>
          <w:lang w:val="en-US"/>
        </w:rPr>
        <w:t xml:space="preserve">by virtually </w:t>
      </w:r>
      <w:r w:rsidR="00E55643" w:rsidRPr="0098640B">
        <w:rPr>
          <w:rFonts w:ascii="Calibri" w:hAnsi="Calibri" w:cs="Calibri"/>
          <w:sz w:val="22"/>
          <w:szCs w:val="22"/>
          <w:lang w:val="en-US"/>
        </w:rPr>
        <w:t xml:space="preserve">blocking </w:t>
      </w:r>
      <w:r w:rsidR="005067F7" w:rsidRPr="0098640B">
        <w:rPr>
          <w:rFonts w:ascii="Calibri" w:hAnsi="Calibri" w:cs="Calibri"/>
          <w:sz w:val="22"/>
          <w:szCs w:val="22"/>
          <w:lang w:val="en-US"/>
        </w:rPr>
        <w:t xml:space="preserve">all activities funded by </w:t>
      </w:r>
      <w:r w:rsidR="00E16571" w:rsidRPr="0098640B">
        <w:rPr>
          <w:rFonts w:ascii="Calibri" w:hAnsi="Calibri" w:cs="Calibri"/>
          <w:sz w:val="22"/>
          <w:szCs w:val="22"/>
          <w:lang w:val="en-US"/>
        </w:rPr>
        <w:t>W</w:t>
      </w:r>
      <w:r w:rsidR="005067F7" w:rsidRPr="0098640B">
        <w:rPr>
          <w:rFonts w:ascii="Calibri" w:hAnsi="Calibri" w:cs="Calibri"/>
          <w:sz w:val="22"/>
          <w:szCs w:val="22"/>
          <w:lang w:val="en-US"/>
        </w:rPr>
        <w:t>estern donors.</w:t>
      </w:r>
      <w:r w:rsidR="00DF62B2" w:rsidRPr="0098640B">
        <w:rPr>
          <w:rFonts w:ascii="Calibri" w:hAnsi="Calibri" w:cs="Calibri"/>
          <w:sz w:val="22"/>
          <w:szCs w:val="22"/>
          <w:lang w:val="en-US"/>
        </w:rPr>
        <w:t xml:space="preserve"> </w:t>
      </w:r>
      <w:r w:rsidR="002021C6" w:rsidRPr="0098640B">
        <w:rPr>
          <w:rFonts w:ascii="Calibri" w:hAnsi="Calibri" w:cs="Calibri"/>
          <w:sz w:val="22"/>
          <w:szCs w:val="22"/>
          <w:lang w:val="en-US"/>
        </w:rPr>
        <w:t>Despite AFP attempts to engage with Russian universities, a</w:t>
      </w:r>
      <w:r w:rsidR="0015289C" w:rsidRPr="0098640B">
        <w:rPr>
          <w:rFonts w:ascii="Calibri" w:hAnsi="Calibri" w:cs="Calibri"/>
          <w:sz w:val="22"/>
          <w:szCs w:val="22"/>
          <w:lang w:val="en-US"/>
        </w:rPr>
        <w:t xml:space="preserve">cademic centers </w:t>
      </w:r>
      <w:r w:rsidR="00F41781" w:rsidRPr="0098640B">
        <w:rPr>
          <w:rFonts w:ascii="Calibri" w:hAnsi="Calibri" w:cs="Calibri"/>
          <w:sz w:val="22"/>
          <w:szCs w:val="22"/>
          <w:lang w:val="en-US"/>
        </w:rPr>
        <w:t>from</w:t>
      </w:r>
      <w:r w:rsidR="00004CBE" w:rsidRPr="0098640B">
        <w:rPr>
          <w:rFonts w:ascii="Calibri" w:hAnsi="Calibri" w:cs="Calibri"/>
          <w:sz w:val="22"/>
          <w:szCs w:val="22"/>
          <w:lang w:val="en-US"/>
        </w:rPr>
        <w:t xml:space="preserve"> </w:t>
      </w:r>
      <w:r w:rsidR="00F41781" w:rsidRPr="0098640B">
        <w:rPr>
          <w:rFonts w:ascii="Calibri" w:hAnsi="Calibri" w:cs="Calibri"/>
          <w:sz w:val="22"/>
          <w:szCs w:val="22"/>
          <w:lang w:val="en-US"/>
        </w:rPr>
        <w:t xml:space="preserve">Kaliningrad to </w:t>
      </w:r>
      <w:r w:rsidR="00004CBE" w:rsidRPr="0098640B">
        <w:rPr>
          <w:rFonts w:ascii="Calibri" w:hAnsi="Calibri" w:cs="Calibri"/>
          <w:sz w:val="22"/>
          <w:szCs w:val="22"/>
          <w:lang w:val="en-US"/>
        </w:rPr>
        <w:t>Kazan</w:t>
      </w:r>
      <w:r w:rsidR="00F41781" w:rsidRPr="0098640B">
        <w:rPr>
          <w:rFonts w:ascii="Calibri" w:hAnsi="Calibri" w:cs="Calibri"/>
          <w:sz w:val="22"/>
          <w:szCs w:val="22"/>
          <w:lang w:val="en-US"/>
        </w:rPr>
        <w:t xml:space="preserve"> and from</w:t>
      </w:r>
      <w:r w:rsidR="00004CBE" w:rsidRPr="0098640B">
        <w:rPr>
          <w:rFonts w:ascii="Calibri" w:hAnsi="Calibri" w:cs="Calibri"/>
          <w:sz w:val="22"/>
          <w:szCs w:val="22"/>
          <w:lang w:val="en-US"/>
        </w:rPr>
        <w:t xml:space="preserve"> </w:t>
      </w:r>
      <w:r w:rsidR="00F41781" w:rsidRPr="0098640B">
        <w:rPr>
          <w:rFonts w:ascii="Calibri" w:hAnsi="Calibri" w:cs="Calibri"/>
          <w:sz w:val="22"/>
          <w:szCs w:val="22"/>
          <w:lang w:val="en-US"/>
        </w:rPr>
        <w:t xml:space="preserve">Samara to </w:t>
      </w:r>
      <w:r w:rsidR="005C02B1">
        <w:rPr>
          <w:rFonts w:ascii="Calibri" w:hAnsi="Calibri" w:cs="Calibri"/>
          <w:sz w:val="22"/>
          <w:szCs w:val="22"/>
          <w:lang w:val="en-US"/>
        </w:rPr>
        <w:t xml:space="preserve">Omsk </w:t>
      </w:r>
      <w:r w:rsidR="00F41781" w:rsidRPr="0098640B">
        <w:rPr>
          <w:rFonts w:ascii="Calibri" w:hAnsi="Calibri" w:cs="Calibri"/>
          <w:sz w:val="22"/>
          <w:szCs w:val="22"/>
          <w:lang w:val="en-US"/>
        </w:rPr>
        <w:t>have remained</w:t>
      </w:r>
      <w:r w:rsidR="002021C6" w:rsidRPr="0098640B">
        <w:rPr>
          <w:rFonts w:ascii="Calibri" w:hAnsi="Calibri" w:cs="Calibri"/>
          <w:sz w:val="22"/>
          <w:szCs w:val="22"/>
          <w:lang w:val="en-US"/>
        </w:rPr>
        <w:t xml:space="preserve"> closed to cooperation.</w:t>
      </w:r>
      <w:r w:rsidR="00004CBE" w:rsidRPr="0098640B">
        <w:rPr>
          <w:rFonts w:ascii="Calibri" w:hAnsi="Calibri" w:cs="Calibri"/>
          <w:sz w:val="22"/>
          <w:szCs w:val="22"/>
          <w:lang w:val="en-US"/>
        </w:rPr>
        <w:t xml:space="preserve">  </w:t>
      </w:r>
    </w:p>
    <w:p w:rsidR="002454DC" w:rsidRPr="00641390" w:rsidRDefault="00EE312B" w:rsidP="008F51FA">
      <w:pPr>
        <w:spacing w:after="0" w:line="240" w:lineRule="auto"/>
        <w:jc w:val="both"/>
        <w:rPr>
          <w:rFonts w:cs="Calibri"/>
          <w:lang w:val="en-US" w:eastAsia="uk-UA"/>
        </w:rPr>
      </w:pPr>
      <w:r w:rsidRPr="00641390">
        <w:rPr>
          <w:rFonts w:cs="Calibri"/>
          <w:lang w:val="en-US" w:eastAsia="uk-UA"/>
        </w:rPr>
        <w:t xml:space="preserve">At the same time, we managed to identify several intellectual hubs in Russia where our engagement </w:t>
      </w:r>
      <w:r w:rsidR="005363F5" w:rsidRPr="00641390">
        <w:rPr>
          <w:rFonts w:cs="Calibri"/>
          <w:lang w:val="en-US" w:eastAsia="uk-UA"/>
        </w:rPr>
        <w:t>did</w:t>
      </w:r>
      <w:r w:rsidRPr="00641390">
        <w:rPr>
          <w:rFonts w:cs="Calibri"/>
          <w:lang w:val="en-US" w:eastAsia="uk-UA"/>
        </w:rPr>
        <w:t xml:space="preserve"> produce</w:t>
      </w:r>
      <w:r w:rsidR="005363F5" w:rsidRPr="00641390">
        <w:rPr>
          <w:rFonts w:cs="Calibri"/>
          <w:lang w:val="en-US" w:eastAsia="uk-UA"/>
        </w:rPr>
        <w:t xml:space="preserve"> meaningful outcomes.</w:t>
      </w:r>
      <w:r w:rsidRPr="00641390">
        <w:rPr>
          <w:rFonts w:cs="Calibri"/>
          <w:lang w:val="en-US" w:eastAsia="uk-UA"/>
        </w:rPr>
        <w:t xml:space="preserve"> For example, AFP has built a team of four Returning Scholars at the Institute o</w:t>
      </w:r>
      <w:r w:rsidR="0007421E" w:rsidRPr="00641390">
        <w:rPr>
          <w:rFonts w:cs="Calibri"/>
          <w:lang w:val="en-US" w:eastAsia="uk-UA"/>
        </w:rPr>
        <w:t>f Political and Social Sciences at</w:t>
      </w:r>
      <w:r w:rsidRPr="00641390">
        <w:rPr>
          <w:rFonts w:cs="Calibri"/>
          <w:lang w:val="en-US" w:eastAsia="uk-UA"/>
        </w:rPr>
        <w:t xml:space="preserve"> Ural Federa</w:t>
      </w:r>
      <w:r w:rsidR="0007421E" w:rsidRPr="00641390">
        <w:rPr>
          <w:rFonts w:cs="Calibri"/>
          <w:lang w:val="en-US" w:eastAsia="uk-UA"/>
        </w:rPr>
        <w:t>l University.</w:t>
      </w:r>
      <w:r w:rsidRPr="00641390">
        <w:rPr>
          <w:rFonts w:cs="Calibri"/>
          <w:lang w:val="en-US" w:eastAsia="uk-UA"/>
        </w:rPr>
        <w:t xml:space="preserve"> Together with an International Scholar, the R</w:t>
      </w:r>
      <w:r w:rsidR="00504B46" w:rsidRPr="00641390">
        <w:rPr>
          <w:rFonts w:cs="Calibri"/>
          <w:lang w:val="en-US" w:eastAsia="uk-UA"/>
        </w:rPr>
        <w:t xml:space="preserve">eturning </w:t>
      </w:r>
      <w:r w:rsidRPr="00641390">
        <w:rPr>
          <w:rFonts w:cs="Calibri"/>
          <w:lang w:val="en-US" w:eastAsia="uk-UA"/>
        </w:rPr>
        <w:t>S</w:t>
      </w:r>
      <w:r w:rsidR="00504B46" w:rsidRPr="00641390">
        <w:rPr>
          <w:rFonts w:cs="Calibri"/>
          <w:lang w:val="en-US" w:eastAsia="uk-UA"/>
        </w:rPr>
        <w:t>cholar</w:t>
      </w:r>
      <w:r w:rsidRPr="00641390">
        <w:rPr>
          <w:rFonts w:cs="Calibri"/>
          <w:lang w:val="en-US" w:eastAsia="uk-UA"/>
        </w:rPr>
        <w:t xml:space="preserve"> cluster has been instrumental in designing and launching a new MA p</w:t>
      </w:r>
      <w:r w:rsidR="00504B46" w:rsidRPr="00641390">
        <w:rPr>
          <w:rFonts w:cs="Calibri"/>
          <w:lang w:val="en-US" w:eastAsia="uk-UA"/>
        </w:rPr>
        <w:t>rogram in Political Philosophy.</w:t>
      </w:r>
      <w:r w:rsidRPr="00641390">
        <w:rPr>
          <w:rFonts w:cs="Calibri"/>
          <w:lang w:val="en-US" w:eastAsia="uk-UA"/>
        </w:rPr>
        <w:t xml:space="preserve"> The disci</w:t>
      </w:r>
      <w:r w:rsidR="00504B46" w:rsidRPr="00641390">
        <w:rPr>
          <w:rFonts w:cs="Calibri"/>
          <w:lang w:val="en-US" w:eastAsia="uk-UA"/>
        </w:rPr>
        <w:t xml:space="preserve">pline and the program are </w:t>
      </w:r>
      <w:r w:rsidRPr="00641390">
        <w:rPr>
          <w:rFonts w:cs="Calibri"/>
          <w:lang w:val="en-US" w:eastAsia="uk-UA"/>
        </w:rPr>
        <w:t>innovative in the Ru</w:t>
      </w:r>
      <w:r w:rsidR="00504B46" w:rsidRPr="00641390">
        <w:rPr>
          <w:rFonts w:cs="Calibri"/>
          <w:lang w:val="en-US" w:eastAsia="uk-UA"/>
        </w:rPr>
        <w:t>ssian higher education context.</w:t>
      </w:r>
      <w:r w:rsidRPr="00641390">
        <w:rPr>
          <w:rFonts w:cs="Calibri"/>
          <w:lang w:val="en-US" w:eastAsia="uk-UA"/>
        </w:rPr>
        <w:t xml:space="preserve"> Another example is </w:t>
      </w:r>
      <w:r w:rsidR="00504B46" w:rsidRPr="00641390">
        <w:rPr>
          <w:rFonts w:cs="Calibri"/>
          <w:lang w:val="en-US" w:eastAsia="uk-UA"/>
        </w:rPr>
        <w:t xml:space="preserve">that of </w:t>
      </w:r>
      <w:r w:rsidRPr="00641390">
        <w:rPr>
          <w:rFonts w:cs="Calibri"/>
          <w:lang w:val="en-US" w:eastAsia="uk-UA"/>
        </w:rPr>
        <w:t>a team of five R</w:t>
      </w:r>
      <w:r w:rsidR="00504B46" w:rsidRPr="00641390">
        <w:rPr>
          <w:rFonts w:cs="Calibri"/>
          <w:lang w:val="en-US" w:eastAsia="uk-UA"/>
        </w:rPr>
        <w:t xml:space="preserve">eturning </w:t>
      </w:r>
      <w:r w:rsidRPr="00641390">
        <w:rPr>
          <w:rFonts w:cs="Calibri"/>
          <w:lang w:val="en-US" w:eastAsia="uk-UA"/>
        </w:rPr>
        <w:t>S</w:t>
      </w:r>
      <w:r w:rsidR="00504B46" w:rsidRPr="00641390">
        <w:rPr>
          <w:rFonts w:cs="Calibri"/>
          <w:lang w:val="en-US" w:eastAsia="uk-UA"/>
        </w:rPr>
        <w:t>cholars</w:t>
      </w:r>
      <w:r w:rsidRPr="00641390">
        <w:rPr>
          <w:rFonts w:cs="Calibri"/>
          <w:lang w:val="en-US" w:eastAsia="uk-UA"/>
        </w:rPr>
        <w:t xml:space="preserve"> at the Smolny College of St. Petersburg State University, whic</w:t>
      </w:r>
      <w:r w:rsidR="00504B46" w:rsidRPr="00641390">
        <w:rPr>
          <w:rFonts w:cs="Calibri"/>
          <w:lang w:val="en-US" w:eastAsia="uk-UA"/>
        </w:rPr>
        <w:t>h AFP has supported since 2004.</w:t>
      </w:r>
      <w:r w:rsidRPr="00641390">
        <w:rPr>
          <w:rFonts w:cs="Calibri"/>
          <w:lang w:val="en-US" w:eastAsia="uk-UA"/>
        </w:rPr>
        <w:t xml:space="preserve"> The team has </w:t>
      </w:r>
      <w:r w:rsidR="00366927">
        <w:rPr>
          <w:rFonts w:cs="Calibri"/>
          <w:lang w:val="en-US" w:eastAsia="uk-UA"/>
        </w:rPr>
        <w:t>launched</w:t>
      </w:r>
      <w:r w:rsidRPr="00641390">
        <w:rPr>
          <w:rFonts w:cs="Calibri"/>
          <w:lang w:val="en-US" w:eastAsia="uk-UA"/>
        </w:rPr>
        <w:t xml:space="preserve"> new political science, international relations, and human rights courses</w:t>
      </w:r>
      <w:r w:rsidR="00251FA3" w:rsidRPr="00641390">
        <w:rPr>
          <w:rFonts w:cs="Calibri"/>
          <w:lang w:val="en-US" w:eastAsia="uk-UA"/>
        </w:rPr>
        <w:t>.</w:t>
      </w:r>
      <w:r w:rsidRPr="00641390">
        <w:rPr>
          <w:rFonts w:cs="Calibri"/>
          <w:lang w:val="en-US" w:eastAsia="uk-UA"/>
        </w:rPr>
        <w:t> Finally, a team of three R</w:t>
      </w:r>
      <w:r w:rsidR="00251FA3" w:rsidRPr="00641390">
        <w:rPr>
          <w:rFonts w:cs="Calibri"/>
          <w:lang w:val="en-US" w:eastAsia="uk-UA"/>
        </w:rPr>
        <w:t xml:space="preserve">eturning </w:t>
      </w:r>
      <w:r w:rsidRPr="00641390">
        <w:rPr>
          <w:rFonts w:cs="Calibri"/>
          <w:lang w:val="en-US" w:eastAsia="uk-UA"/>
        </w:rPr>
        <w:t>S</w:t>
      </w:r>
      <w:r w:rsidR="00251FA3" w:rsidRPr="00641390">
        <w:rPr>
          <w:rFonts w:cs="Calibri"/>
          <w:lang w:val="en-US" w:eastAsia="uk-UA"/>
        </w:rPr>
        <w:t>cholars</w:t>
      </w:r>
      <w:r w:rsidRPr="00641390">
        <w:rPr>
          <w:rFonts w:cs="Calibri"/>
          <w:lang w:val="en-US" w:eastAsia="uk-UA"/>
        </w:rPr>
        <w:t xml:space="preserve"> at the Faculty of Law, </w:t>
      </w:r>
      <w:r w:rsidR="00251FA3" w:rsidRPr="00641390">
        <w:rPr>
          <w:rFonts w:cs="Calibri"/>
          <w:lang w:val="en-US" w:eastAsia="uk-UA"/>
        </w:rPr>
        <w:t>Mari State University (</w:t>
      </w:r>
      <w:r w:rsidRPr="00641390">
        <w:rPr>
          <w:rFonts w:cs="Calibri"/>
          <w:lang w:val="en-US" w:eastAsia="uk-UA"/>
        </w:rPr>
        <w:t>a small regional university)</w:t>
      </w:r>
      <w:r w:rsidR="00770DAA">
        <w:rPr>
          <w:rFonts w:cs="Calibri"/>
          <w:lang w:val="en-US" w:eastAsia="uk-UA"/>
        </w:rPr>
        <w:t xml:space="preserve"> </w:t>
      </w:r>
      <w:r w:rsidR="001A47B4" w:rsidRPr="00641390">
        <w:rPr>
          <w:rFonts w:cs="Calibri"/>
          <w:lang w:val="en-US" w:eastAsia="uk-UA"/>
        </w:rPr>
        <w:t>for the first time</w:t>
      </w:r>
      <w:r w:rsidR="00770DAA" w:rsidRPr="00770DAA">
        <w:rPr>
          <w:rFonts w:cs="Calibri"/>
          <w:lang w:val="en-US" w:eastAsia="uk-UA"/>
        </w:rPr>
        <w:t xml:space="preserve"> </w:t>
      </w:r>
      <w:r w:rsidR="00770DAA" w:rsidRPr="00641390">
        <w:rPr>
          <w:rFonts w:cs="Calibri"/>
          <w:lang w:val="en-US" w:eastAsia="uk-UA"/>
        </w:rPr>
        <w:t>introduced</w:t>
      </w:r>
      <w:r w:rsidRPr="00641390">
        <w:rPr>
          <w:rFonts w:cs="Calibri"/>
          <w:lang w:val="en-US" w:eastAsia="uk-UA"/>
        </w:rPr>
        <w:t xml:space="preserve"> a cluster </w:t>
      </w:r>
      <w:r w:rsidR="00251FA3" w:rsidRPr="00641390">
        <w:rPr>
          <w:rFonts w:cs="Calibri"/>
          <w:lang w:val="en-US" w:eastAsia="uk-UA"/>
        </w:rPr>
        <w:t>of human rights courses to the f</w:t>
      </w:r>
      <w:r w:rsidRPr="00641390">
        <w:rPr>
          <w:rFonts w:cs="Calibri"/>
          <w:lang w:val="en-US" w:eastAsia="uk-UA"/>
        </w:rPr>
        <w:t>aculty’s curriculum. The R</w:t>
      </w:r>
      <w:r w:rsidR="001A47B4" w:rsidRPr="00641390">
        <w:rPr>
          <w:rFonts w:cs="Calibri"/>
          <w:lang w:val="en-US" w:eastAsia="uk-UA"/>
        </w:rPr>
        <w:t xml:space="preserve">eturning </w:t>
      </w:r>
      <w:r w:rsidRPr="00641390">
        <w:rPr>
          <w:rFonts w:cs="Calibri"/>
          <w:lang w:val="en-US" w:eastAsia="uk-UA"/>
        </w:rPr>
        <w:t>S</w:t>
      </w:r>
      <w:r w:rsidR="001A47B4" w:rsidRPr="00641390">
        <w:rPr>
          <w:rFonts w:cs="Calibri"/>
          <w:lang w:val="en-US" w:eastAsia="uk-UA"/>
        </w:rPr>
        <w:t>cholars</w:t>
      </w:r>
      <w:r w:rsidRPr="00641390">
        <w:rPr>
          <w:rFonts w:cs="Calibri"/>
          <w:lang w:val="en-US" w:eastAsia="uk-UA"/>
        </w:rPr>
        <w:t xml:space="preserve"> team also initiated the development and introduction of a brand new specialization in International Law at the </w:t>
      </w:r>
      <w:r w:rsidR="001A47B4" w:rsidRPr="00641390">
        <w:rPr>
          <w:rFonts w:cs="Calibri"/>
          <w:lang w:val="en-US" w:eastAsia="uk-UA"/>
        </w:rPr>
        <w:t>undergraduate</w:t>
      </w:r>
      <w:r w:rsidRPr="00641390">
        <w:rPr>
          <w:rFonts w:cs="Calibri"/>
          <w:lang w:val="en-US" w:eastAsia="uk-UA"/>
        </w:rPr>
        <w:t xml:space="preserve"> level.</w:t>
      </w:r>
    </w:p>
    <w:p w:rsidR="003241CE" w:rsidRPr="00441866" w:rsidRDefault="003241CE" w:rsidP="00441866">
      <w:pPr>
        <w:pStyle w:val="Heading3"/>
        <w:rPr>
          <w:sz w:val="24"/>
          <w:szCs w:val="24"/>
          <w:lang w:val="en-US"/>
        </w:rPr>
      </w:pPr>
      <w:r w:rsidRPr="00441866">
        <w:rPr>
          <w:sz w:val="24"/>
          <w:szCs w:val="24"/>
          <w:lang w:val="en-US"/>
        </w:rPr>
        <w:t>Universities as Engines of Reforms</w:t>
      </w:r>
    </w:p>
    <w:p w:rsidR="000F19E7" w:rsidRDefault="00C547AF" w:rsidP="002A0DE0">
      <w:pPr>
        <w:spacing w:line="240" w:lineRule="auto"/>
        <w:jc w:val="both"/>
        <w:rPr>
          <w:lang w:val="en-US"/>
        </w:rPr>
      </w:pPr>
      <w:r w:rsidRPr="0098640B">
        <w:rPr>
          <w:lang w:val="en-US"/>
        </w:rPr>
        <w:t>AFP</w:t>
      </w:r>
      <w:r w:rsidR="001511E7">
        <w:rPr>
          <w:lang w:val="en-US"/>
        </w:rPr>
        <w:t>’</w:t>
      </w:r>
      <w:r w:rsidR="003944D0" w:rsidRPr="0098640B">
        <w:rPr>
          <w:lang w:val="en-US"/>
        </w:rPr>
        <w:t>s</w:t>
      </w:r>
      <w:r w:rsidR="008866B5" w:rsidRPr="0098640B">
        <w:rPr>
          <w:lang w:val="en-US"/>
        </w:rPr>
        <w:t xml:space="preserve"> support</w:t>
      </w:r>
      <w:r w:rsidRPr="0098640B">
        <w:rPr>
          <w:lang w:val="en-US"/>
        </w:rPr>
        <w:t xml:space="preserve"> </w:t>
      </w:r>
      <w:r w:rsidR="003944D0" w:rsidRPr="0098640B">
        <w:rPr>
          <w:lang w:val="en-US"/>
        </w:rPr>
        <w:t xml:space="preserve">has been </w:t>
      </w:r>
      <w:r w:rsidR="00420C00" w:rsidRPr="0098640B">
        <w:rPr>
          <w:lang w:val="en-US"/>
        </w:rPr>
        <w:t>channeled</w:t>
      </w:r>
      <w:r w:rsidR="003944D0" w:rsidRPr="0098640B">
        <w:rPr>
          <w:lang w:val="en-US"/>
        </w:rPr>
        <w:t xml:space="preserve"> </w:t>
      </w:r>
      <w:r w:rsidRPr="0098640B">
        <w:rPr>
          <w:lang w:val="en-US"/>
        </w:rPr>
        <w:t xml:space="preserve">exclusively </w:t>
      </w:r>
      <w:r w:rsidR="00420C00" w:rsidRPr="0098640B">
        <w:rPr>
          <w:lang w:val="en-US"/>
        </w:rPr>
        <w:t>to</w:t>
      </w:r>
      <w:r w:rsidR="008866B5" w:rsidRPr="0098640B">
        <w:rPr>
          <w:lang w:val="en-US"/>
        </w:rPr>
        <w:t xml:space="preserve"> </w:t>
      </w:r>
      <w:r w:rsidRPr="0098640B">
        <w:rPr>
          <w:lang w:val="en-US"/>
        </w:rPr>
        <w:t>public universities</w:t>
      </w:r>
      <w:r w:rsidR="0065335D">
        <w:rPr>
          <w:rStyle w:val="FootnoteReference"/>
          <w:lang w:val="en-US"/>
        </w:rPr>
        <w:footnoteReference w:id="5"/>
      </w:r>
      <w:r w:rsidRPr="0098640B">
        <w:rPr>
          <w:lang w:val="en-US"/>
        </w:rPr>
        <w:t xml:space="preserve">. </w:t>
      </w:r>
      <w:r w:rsidR="003944D0" w:rsidRPr="0098640B">
        <w:rPr>
          <w:lang w:val="en-US"/>
        </w:rPr>
        <w:t>There are two reasons for this</w:t>
      </w:r>
      <w:r w:rsidRPr="0098640B">
        <w:rPr>
          <w:lang w:val="en-US"/>
        </w:rPr>
        <w:t xml:space="preserve">: 1) HESP was already awarding large institutional grants to private universities in the region, and 2) </w:t>
      </w:r>
      <w:r w:rsidR="00165104">
        <w:rPr>
          <w:lang w:val="en-US"/>
        </w:rPr>
        <w:t>the internal</w:t>
      </w:r>
      <w:r w:rsidR="00420C00" w:rsidRPr="0098640B">
        <w:rPr>
          <w:lang w:val="en-US"/>
        </w:rPr>
        <w:t xml:space="preserve"> working </w:t>
      </w:r>
      <w:r w:rsidRPr="0098640B">
        <w:rPr>
          <w:lang w:val="en-US"/>
        </w:rPr>
        <w:t xml:space="preserve">assumption that higher education systems are best influenced through major public universities. </w:t>
      </w:r>
    </w:p>
    <w:p w:rsidR="006E2203" w:rsidRPr="0098640B" w:rsidRDefault="00623396" w:rsidP="002A0DE0">
      <w:pPr>
        <w:spacing w:line="240" w:lineRule="auto"/>
        <w:jc w:val="both"/>
        <w:rPr>
          <w:lang w:val="en-US"/>
        </w:rPr>
      </w:pPr>
      <w:r w:rsidRPr="0098640B">
        <w:rPr>
          <w:lang w:val="en-US"/>
        </w:rPr>
        <w:t xml:space="preserve">AFP collaborates with </w:t>
      </w:r>
      <w:r w:rsidR="003738EA" w:rsidRPr="0098640B">
        <w:rPr>
          <w:lang w:val="en-US"/>
        </w:rPr>
        <w:t xml:space="preserve">university </w:t>
      </w:r>
      <w:r w:rsidRPr="0098640B">
        <w:rPr>
          <w:lang w:val="en-US"/>
        </w:rPr>
        <w:t>departments</w:t>
      </w:r>
      <w:r w:rsidR="003738EA" w:rsidRPr="0098640B">
        <w:rPr>
          <w:lang w:val="en-US"/>
        </w:rPr>
        <w:t xml:space="preserve">. </w:t>
      </w:r>
      <w:r w:rsidR="00502A6F" w:rsidRPr="0098640B">
        <w:rPr>
          <w:lang w:val="en-US"/>
        </w:rPr>
        <w:t>As the</w:t>
      </w:r>
      <w:r w:rsidR="004E5164" w:rsidRPr="0098640B">
        <w:rPr>
          <w:lang w:val="en-US"/>
        </w:rPr>
        <w:t xml:space="preserve"> </w:t>
      </w:r>
      <w:r w:rsidR="00A93648" w:rsidRPr="0098640B">
        <w:rPr>
          <w:lang w:val="en-US"/>
        </w:rPr>
        <w:t>smallest academic units</w:t>
      </w:r>
      <w:r w:rsidR="00502A6F" w:rsidRPr="0098640B">
        <w:rPr>
          <w:lang w:val="en-US"/>
        </w:rPr>
        <w:t xml:space="preserve">, they are </w:t>
      </w:r>
      <w:r w:rsidR="00A93648" w:rsidRPr="0098640B">
        <w:rPr>
          <w:lang w:val="en-US"/>
        </w:rPr>
        <w:t xml:space="preserve">least </w:t>
      </w:r>
      <w:r w:rsidR="00D526B8" w:rsidRPr="0098640B">
        <w:rPr>
          <w:lang w:val="en-US"/>
        </w:rPr>
        <w:t xml:space="preserve">affected by </w:t>
      </w:r>
      <w:r w:rsidR="00EC5340" w:rsidRPr="0098640B">
        <w:rPr>
          <w:lang w:val="en-US"/>
        </w:rPr>
        <w:t>centralized bureaucracy and</w:t>
      </w:r>
      <w:r w:rsidR="00931377" w:rsidRPr="0098640B">
        <w:rPr>
          <w:lang w:val="en-US"/>
        </w:rPr>
        <w:t xml:space="preserve"> </w:t>
      </w:r>
      <w:r w:rsidR="00D848C1" w:rsidRPr="0098640B">
        <w:rPr>
          <w:lang w:val="en-US"/>
        </w:rPr>
        <w:t xml:space="preserve">are most likely to be </w:t>
      </w:r>
      <w:r w:rsidR="008D5A58">
        <w:rPr>
          <w:lang w:val="en-US"/>
        </w:rPr>
        <w:t>open</w:t>
      </w:r>
      <w:r w:rsidR="00931377" w:rsidRPr="0098640B">
        <w:rPr>
          <w:lang w:val="en-US"/>
        </w:rPr>
        <w:t xml:space="preserve"> to </w:t>
      </w:r>
      <w:r w:rsidR="00502A6F" w:rsidRPr="0098640B">
        <w:rPr>
          <w:lang w:val="en-US"/>
        </w:rPr>
        <w:t>progressive reform</w:t>
      </w:r>
      <w:r w:rsidR="00931377" w:rsidRPr="0098640B">
        <w:rPr>
          <w:lang w:val="en-US"/>
        </w:rPr>
        <w:t xml:space="preserve">. </w:t>
      </w:r>
      <w:r w:rsidR="008D5A58">
        <w:rPr>
          <w:lang w:val="en-US"/>
        </w:rPr>
        <w:t>Neverthe</w:t>
      </w:r>
      <w:r w:rsidR="004E5164" w:rsidRPr="0098640B">
        <w:rPr>
          <w:lang w:val="en-US"/>
        </w:rPr>
        <w:t>less</w:t>
      </w:r>
      <w:r w:rsidR="00EC5340" w:rsidRPr="0098640B">
        <w:rPr>
          <w:lang w:val="en-US"/>
        </w:rPr>
        <w:t xml:space="preserve">, the overall university environment </w:t>
      </w:r>
      <w:r w:rsidR="00D967F1" w:rsidRPr="0098640B">
        <w:rPr>
          <w:lang w:val="en-US"/>
        </w:rPr>
        <w:t>has a major impact on the success of AFP interventi</w:t>
      </w:r>
      <w:r w:rsidR="00931377" w:rsidRPr="0098640B">
        <w:rPr>
          <w:lang w:val="en-US"/>
        </w:rPr>
        <w:t xml:space="preserve">ons </w:t>
      </w:r>
      <w:r w:rsidR="00C42118" w:rsidRPr="0098640B">
        <w:rPr>
          <w:lang w:val="en-US"/>
        </w:rPr>
        <w:t>within</w:t>
      </w:r>
      <w:r w:rsidR="00931377" w:rsidRPr="0098640B">
        <w:rPr>
          <w:lang w:val="en-US"/>
        </w:rPr>
        <w:t xml:space="preserve"> individual departments. </w:t>
      </w:r>
      <w:r w:rsidR="00D967F1" w:rsidRPr="0098640B">
        <w:rPr>
          <w:lang w:val="en-US"/>
        </w:rPr>
        <w:t>AFP has been most successful at universities</w:t>
      </w:r>
      <w:r w:rsidR="00991331">
        <w:rPr>
          <w:lang w:val="en-US"/>
        </w:rPr>
        <w:t>—</w:t>
      </w:r>
      <w:r w:rsidR="00BE3D15" w:rsidRPr="005D454D">
        <w:rPr>
          <w:lang w:val="en-US"/>
        </w:rPr>
        <w:t>such as</w:t>
      </w:r>
      <w:r w:rsidR="00F50EC3">
        <w:rPr>
          <w:lang w:val="en-US"/>
        </w:rPr>
        <w:t xml:space="preserve"> Kyiv-Mohyla Academy (Ukraine), </w:t>
      </w:r>
      <w:r w:rsidR="00991331" w:rsidRPr="005D454D">
        <w:rPr>
          <w:lang w:val="en-US"/>
        </w:rPr>
        <w:t>Tbilisi State University and the University of Skopje—</w:t>
      </w:r>
      <w:r w:rsidR="00D967F1" w:rsidRPr="0098640B">
        <w:rPr>
          <w:lang w:val="en-US"/>
        </w:rPr>
        <w:t xml:space="preserve">where senior management </w:t>
      </w:r>
      <w:r w:rsidR="009F7291">
        <w:rPr>
          <w:lang w:val="en-US"/>
        </w:rPr>
        <w:t>has made</w:t>
      </w:r>
      <w:r w:rsidR="00D967F1" w:rsidRPr="0098640B">
        <w:rPr>
          <w:lang w:val="en-US"/>
        </w:rPr>
        <w:t xml:space="preserve"> a concerted effort to improve </w:t>
      </w:r>
      <w:r w:rsidR="004E5164" w:rsidRPr="0098640B">
        <w:rPr>
          <w:lang w:val="en-US"/>
        </w:rPr>
        <w:t xml:space="preserve">the </w:t>
      </w:r>
      <w:r w:rsidR="00D967F1" w:rsidRPr="0098640B">
        <w:rPr>
          <w:lang w:val="en-US"/>
        </w:rPr>
        <w:t xml:space="preserve">academic standards </w:t>
      </w:r>
      <w:r w:rsidR="00D03285" w:rsidRPr="0098640B">
        <w:rPr>
          <w:lang w:val="en-US"/>
        </w:rPr>
        <w:t xml:space="preserve">and competitiveness </w:t>
      </w:r>
      <w:r w:rsidR="00D967F1" w:rsidRPr="0098640B">
        <w:rPr>
          <w:lang w:val="en-US"/>
        </w:rPr>
        <w:t>of university programs</w:t>
      </w:r>
      <w:r w:rsidR="00931377" w:rsidRPr="0098640B">
        <w:rPr>
          <w:lang w:val="en-US"/>
        </w:rPr>
        <w:t xml:space="preserve">. </w:t>
      </w:r>
      <w:r w:rsidR="005219B7" w:rsidRPr="0098640B">
        <w:rPr>
          <w:lang w:val="en-US"/>
        </w:rPr>
        <w:t>Such univer</w:t>
      </w:r>
      <w:r w:rsidR="0012283B" w:rsidRPr="0098640B">
        <w:rPr>
          <w:lang w:val="en-US"/>
        </w:rPr>
        <w:t xml:space="preserve">sities </w:t>
      </w:r>
      <w:r w:rsidR="002D22CF" w:rsidRPr="0098640B">
        <w:rPr>
          <w:lang w:val="en-US"/>
        </w:rPr>
        <w:t>tend to</w:t>
      </w:r>
      <w:r w:rsidR="0012283B" w:rsidRPr="0098640B">
        <w:rPr>
          <w:lang w:val="en-US"/>
        </w:rPr>
        <w:t xml:space="preserve"> oppose</w:t>
      </w:r>
      <w:r w:rsidR="005219B7" w:rsidRPr="0098640B">
        <w:rPr>
          <w:lang w:val="en-US"/>
        </w:rPr>
        <w:t xml:space="preserve"> ministries of education</w:t>
      </w:r>
      <w:r w:rsidR="0012283B" w:rsidRPr="0098640B">
        <w:rPr>
          <w:lang w:val="en-US"/>
        </w:rPr>
        <w:t xml:space="preserve"> </w:t>
      </w:r>
      <w:r w:rsidR="004E5164" w:rsidRPr="0098640B">
        <w:rPr>
          <w:lang w:val="en-US"/>
        </w:rPr>
        <w:t xml:space="preserve">that impose </w:t>
      </w:r>
      <w:r w:rsidR="0012283B" w:rsidRPr="0098640B">
        <w:rPr>
          <w:lang w:val="en-US"/>
        </w:rPr>
        <w:t>uniform standards</w:t>
      </w:r>
      <w:r w:rsidR="0035413F" w:rsidRPr="0098640B">
        <w:rPr>
          <w:lang w:val="en-US"/>
        </w:rPr>
        <w:t xml:space="preserve"> </w:t>
      </w:r>
      <w:r w:rsidR="00BE3D15" w:rsidRPr="0098640B">
        <w:rPr>
          <w:lang w:val="en-US"/>
        </w:rPr>
        <w:t>across</w:t>
      </w:r>
      <w:r w:rsidR="0035413F" w:rsidRPr="0098640B">
        <w:rPr>
          <w:lang w:val="en-US"/>
        </w:rPr>
        <w:t xml:space="preserve"> all educational programs</w:t>
      </w:r>
      <w:r w:rsidR="00293E38" w:rsidRPr="0098640B">
        <w:rPr>
          <w:lang w:val="en-US"/>
        </w:rPr>
        <w:t>; they also tend to lead the charge for</w:t>
      </w:r>
      <w:r w:rsidR="00D255CC" w:rsidRPr="0098640B">
        <w:rPr>
          <w:lang w:val="en-US"/>
        </w:rPr>
        <w:t xml:space="preserve"> university autonomy.</w:t>
      </w:r>
      <w:r w:rsidR="005219B7" w:rsidRPr="0098640B">
        <w:rPr>
          <w:lang w:val="en-US"/>
        </w:rPr>
        <w:t xml:space="preserve"> </w:t>
      </w:r>
      <w:r w:rsidR="00F408D0" w:rsidRPr="0098640B">
        <w:rPr>
          <w:lang w:val="en-US"/>
        </w:rPr>
        <w:t>U</w:t>
      </w:r>
      <w:r w:rsidR="001B54F7" w:rsidRPr="0098640B">
        <w:rPr>
          <w:lang w:val="en-US"/>
        </w:rPr>
        <w:t xml:space="preserve">nlike most universities in the region, </w:t>
      </w:r>
      <w:r w:rsidR="00C754AF" w:rsidRPr="0098640B">
        <w:rPr>
          <w:lang w:val="en-US"/>
        </w:rPr>
        <w:t xml:space="preserve">they </w:t>
      </w:r>
      <w:r w:rsidR="001B54F7" w:rsidRPr="0098640B">
        <w:rPr>
          <w:lang w:val="en-US"/>
        </w:rPr>
        <w:t xml:space="preserve">allow </w:t>
      </w:r>
      <w:r w:rsidR="00293E38" w:rsidRPr="0098640B">
        <w:rPr>
          <w:lang w:val="en-US"/>
        </w:rPr>
        <w:t>their departments</w:t>
      </w:r>
      <w:r w:rsidR="001B54F7" w:rsidRPr="0098640B">
        <w:rPr>
          <w:lang w:val="en-US"/>
        </w:rPr>
        <w:t xml:space="preserve"> considerable academic freedom. </w:t>
      </w:r>
    </w:p>
    <w:p w:rsidR="00303D83" w:rsidRDefault="004E5164" w:rsidP="00B6609A">
      <w:pPr>
        <w:spacing w:line="240" w:lineRule="auto"/>
        <w:jc w:val="both"/>
        <w:rPr>
          <w:lang w:val="en-US"/>
        </w:rPr>
      </w:pPr>
      <w:r w:rsidRPr="0098640B">
        <w:rPr>
          <w:lang w:val="en-US"/>
        </w:rPr>
        <w:t>A</w:t>
      </w:r>
      <w:r w:rsidR="00034883" w:rsidRPr="0098640B">
        <w:rPr>
          <w:lang w:val="en-US"/>
        </w:rPr>
        <w:t xml:space="preserve"> healthy </w:t>
      </w:r>
      <w:r w:rsidRPr="0098640B">
        <w:rPr>
          <w:lang w:val="en-US"/>
        </w:rPr>
        <w:t xml:space="preserve">university </w:t>
      </w:r>
      <w:r w:rsidR="00034883" w:rsidRPr="0098640B">
        <w:rPr>
          <w:lang w:val="en-US"/>
        </w:rPr>
        <w:t>env</w:t>
      </w:r>
      <w:r w:rsidR="004A4E52" w:rsidRPr="0098640B">
        <w:rPr>
          <w:lang w:val="en-US"/>
        </w:rPr>
        <w:t>ironment</w:t>
      </w:r>
      <w:r w:rsidRPr="0098640B">
        <w:rPr>
          <w:lang w:val="en-US"/>
        </w:rPr>
        <w:t xml:space="preserve"> also</w:t>
      </w:r>
      <w:r w:rsidR="00034883" w:rsidRPr="0098640B">
        <w:rPr>
          <w:lang w:val="en-US"/>
        </w:rPr>
        <w:t xml:space="preserve"> create</w:t>
      </w:r>
      <w:r w:rsidR="004A4E52" w:rsidRPr="0098640B">
        <w:rPr>
          <w:lang w:val="en-US"/>
        </w:rPr>
        <w:t>s</w:t>
      </w:r>
      <w:r w:rsidR="00034883" w:rsidRPr="0098640B">
        <w:rPr>
          <w:lang w:val="en-US"/>
        </w:rPr>
        <w:t xml:space="preserve"> favorable conditions for replicating successful AFP models </w:t>
      </w:r>
      <w:r w:rsidR="007D2F92" w:rsidRPr="0098640B">
        <w:rPr>
          <w:lang w:val="en-US"/>
        </w:rPr>
        <w:t>within</w:t>
      </w:r>
      <w:r w:rsidR="00034883" w:rsidRPr="0098640B">
        <w:rPr>
          <w:lang w:val="en-US"/>
        </w:rPr>
        <w:t xml:space="preserve"> </w:t>
      </w:r>
      <w:r w:rsidR="007D2F92" w:rsidRPr="0098640B">
        <w:rPr>
          <w:lang w:val="en-US"/>
        </w:rPr>
        <w:t>the same</w:t>
      </w:r>
      <w:r w:rsidR="000E7219" w:rsidRPr="0098640B">
        <w:rPr>
          <w:lang w:val="en-US"/>
        </w:rPr>
        <w:t xml:space="preserve"> university</w:t>
      </w:r>
      <w:r w:rsidR="00F2182A" w:rsidRPr="0098640B">
        <w:rPr>
          <w:lang w:val="en-US"/>
        </w:rPr>
        <w:t>,</w:t>
      </w:r>
      <w:r w:rsidR="007C3A35" w:rsidRPr="0098640B">
        <w:rPr>
          <w:lang w:val="en-US"/>
        </w:rPr>
        <w:t xml:space="preserve"> </w:t>
      </w:r>
      <w:r w:rsidR="00AD43AB" w:rsidRPr="0098640B">
        <w:rPr>
          <w:lang w:val="en-US"/>
        </w:rPr>
        <w:t>thus increasing the systemic impact of the program</w:t>
      </w:r>
      <w:r w:rsidR="008B7350" w:rsidRPr="0098640B">
        <w:rPr>
          <w:lang w:val="en-US"/>
        </w:rPr>
        <w:t xml:space="preserve">. </w:t>
      </w:r>
      <w:r w:rsidR="00C93517">
        <w:rPr>
          <w:lang w:val="en-US"/>
        </w:rPr>
        <w:t xml:space="preserve">Often it was only possible to determine which universities </w:t>
      </w:r>
      <w:r w:rsidR="00A735CC">
        <w:rPr>
          <w:lang w:val="en-US"/>
        </w:rPr>
        <w:t xml:space="preserve">offered </w:t>
      </w:r>
      <w:r w:rsidR="006C21A0">
        <w:rPr>
          <w:lang w:val="en-US"/>
        </w:rPr>
        <w:t xml:space="preserve">such prospects </w:t>
      </w:r>
      <w:r w:rsidR="00B84E5F">
        <w:rPr>
          <w:lang w:val="en-US"/>
        </w:rPr>
        <w:t>once</w:t>
      </w:r>
      <w:r w:rsidR="006C21A0">
        <w:rPr>
          <w:lang w:val="en-US"/>
        </w:rPr>
        <w:t xml:space="preserve"> a partnership was </w:t>
      </w:r>
      <w:r w:rsidR="00F15E3C">
        <w:rPr>
          <w:lang w:val="en-US"/>
        </w:rPr>
        <w:t>tried and tested</w:t>
      </w:r>
      <w:r w:rsidR="006C21A0">
        <w:rPr>
          <w:lang w:val="en-US"/>
        </w:rPr>
        <w:t xml:space="preserve">. </w:t>
      </w:r>
      <w:r w:rsidR="001646D1">
        <w:rPr>
          <w:lang w:val="en-US"/>
        </w:rPr>
        <w:t>AFP p</w:t>
      </w:r>
      <w:r w:rsidR="007D2F92" w:rsidRPr="0098640B">
        <w:rPr>
          <w:lang w:val="en-US"/>
        </w:rPr>
        <w:t>artnership</w:t>
      </w:r>
      <w:r w:rsidR="008B7350" w:rsidRPr="0098640B">
        <w:rPr>
          <w:lang w:val="en-US"/>
        </w:rPr>
        <w:t>s</w:t>
      </w:r>
      <w:r w:rsidR="00C3533C">
        <w:rPr>
          <w:lang w:val="en-US"/>
        </w:rPr>
        <w:t xml:space="preserve"> </w:t>
      </w:r>
      <w:r w:rsidR="001646D1">
        <w:rPr>
          <w:lang w:val="en-US"/>
        </w:rPr>
        <w:t xml:space="preserve">that resulted in such spillover effects </w:t>
      </w:r>
      <w:r w:rsidR="00023AF9">
        <w:rPr>
          <w:lang w:val="en-US"/>
        </w:rPr>
        <w:t>occurred</w:t>
      </w:r>
      <w:r w:rsidR="00A55985">
        <w:rPr>
          <w:lang w:val="en-US"/>
        </w:rPr>
        <w:t>, for instance</w:t>
      </w:r>
      <w:r w:rsidR="00F3580F">
        <w:rPr>
          <w:lang w:val="en-US"/>
        </w:rPr>
        <w:t>,</w:t>
      </w:r>
      <w:r w:rsidR="00A55985">
        <w:rPr>
          <w:lang w:val="en-US"/>
        </w:rPr>
        <w:t xml:space="preserve"> at </w:t>
      </w:r>
      <w:r w:rsidR="009929CF" w:rsidRPr="0098640B">
        <w:rPr>
          <w:lang w:val="en-US"/>
        </w:rPr>
        <w:t xml:space="preserve">Tbilisi State University, </w:t>
      </w:r>
      <w:r w:rsidR="00023AF9">
        <w:rPr>
          <w:lang w:val="en-US"/>
        </w:rPr>
        <w:t xml:space="preserve">the </w:t>
      </w:r>
      <w:r w:rsidR="00547A3B">
        <w:rPr>
          <w:lang w:val="en-US"/>
        </w:rPr>
        <w:t>University of Pris</w:t>
      </w:r>
      <w:r w:rsidR="00C26DAE">
        <w:rPr>
          <w:lang w:val="en-US"/>
        </w:rPr>
        <w:t>tina (Kosovo)</w:t>
      </w:r>
      <w:r w:rsidR="006E0324" w:rsidRPr="0098640B">
        <w:rPr>
          <w:lang w:val="en-US"/>
        </w:rPr>
        <w:t xml:space="preserve">, </w:t>
      </w:r>
      <w:r w:rsidR="00C3533C">
        <w:rPr>
          <w:lang w:val="en-US"/>
        </w:rPr>
        <w:t xml:space="preserve">and </w:t>
      </w:r>
      <w:r w:rsidR="008B7350" w:rsidRPr="0098640B">
        <w:rPr>
          <w:lang w:val="en-US"/>
        </w:rPr>
        <w:t xml:space="preserve">the </w:t>
      </w:r>
      <w:r w:rsidR="006E0324" w:rsidRPr="0098640B">
        <w:rPr>
          <w:lang w:val="en-US"/>
        </w:rPr>
        <w:t>National University of Mongolia</w:t>
      </w:r>
      <w:r w:rsidR="00F15E3C">
        <w:rPr>
          <w:lang w:val="en-US"/>
        </w:rPr>
        <w:t xml:space="preserve">. </w:t>
      </w:r>
      <w:r w:rsidR="00023AF9">
        <w:rPr>
          <w:lang w:val="en-US"/>
        </w:rPr>
        <w:t>In each of these institutions, AFP’s partnership with a single department inspired other departments to reach out to AFP to advance their curricula reform and quality of instruction.</w:t>
      </w:r>
    </w:p>
    <w:tbl>
      <w:tblPr>
        <w:tblStyle w:val="TableGrid"/>
        <w:tblW w:w="0" w:type="auto"/>
        <w:tblInd w:w="468" w:type="dxa"/>
        <w:tblLook w:val="04A0" w:firstRow="1" w:lastRow="0" w:firstColumn="1" w:lastColumn="0" w:noHBand="0" w:noVBand="1"/>
      </w:tblPr>
      <w:tblGrid>
        <w:gridCol w:w="8820"/>
      </w:tblGrid>
      <w:tr w:rsidR="00433A8D" w:rsidTr="007855C9">
        <w:tc>
          <w:tcPr>
            <w:tcW w:w="8820" w:type="dxa"/>
            <w:shd w:val="clear" w:color="auto" w:fill="EEECE1" w:themeFill="background2"/>
          </w:tcPr>
          <w:p w:rsidR="00433A8D" w:rsidRPr="00433A8D" w:rsidRDefault="00D64492" w:rsidP="00547A3B">
            <w:pPr>
              <w:spacing w:after="0" w:line="240" w:lineRule="auto"/>
              <w:jc w:val="both"/>
              <w:rPr>
                <w:rFonts w:asciiTheme="majorHAnsi" w:hAnsiTheme="majorHAnsi"/>
                <w:sz w:val="20"/>
                <w:szCs w:val="20"/>
                <w:lang w:val="en-US"/>
              </w:rPr>
            </w:pPr>
            <w:r>
              <w:rPr>
                <w:rFonts w:asciiTheme="majorHAnsi" w:hAnsiTheme="majorHAnsi"/>
                <w:b/>
                <w:sz w:val="20"/>
                <w:szCs w:val="20"/>
                <w:lang w:val="en-US"/>
              </w:rPr>
              <w:t>S</w:t>
            </w:r>
            <w:r w:rsidR="00433A8D" w:rsidRPr="00685A52">
              <w:rPr>
                <w:rFonts w:asciiTheme="majorHAnsi" w:hAnsiTheme="majorHAnsi"/>
                <w:b/>
                <w:sz w:val="20"/>
                <w:szCs w:val="20"/>
                <w:lang w:val="en-US"/>
              </w:rPr>
              <w:t>pill-</w:t>
            </w:r>
            <w:r w:rsidR="00CB4638">
              <w:rPr>
                <w:rFonts w:asciiTheme="majorHAnsi" w:hAnsiTheme="majorHAnsi"/>
                <w:b/>
                <w:sz w:val="20"/>
                <w:szCs w:val="20"/>
                <w:lang w:val="en-US"/>
              </w:rPr>
              <w:t>O</w:t>
            </w:r>
            <w:r w:rsidR="00433A8D" w:rsidRPr="00685A52">
              <w:rPr>
                <w:rFonts w:asciiTheme="majorHAnsi" w:hAnsiTheme="majorHAnsi"/>
                <w:b/>
                <w:sz w:val="20"/>
                <w:szCs w:val="20"/>
                <w:lang w:val="en-US"/>
              </w:rPr>
              <w:t>ver Case</w:t>
            </w:r>
            <w:r w:rsidR="00433A8D">
              <w:rPr>
                <w:rFonts w:asciiTheme="majorHAnsi" w:hAnsiTheme="majorHAnsi"/>
                <w:b/>
                <w:sz w:val="20"/>
                <w:szCs w:val="20"/>
                <w:lang w:val="en-US"/>
              </w:rPr>
              <w:t xml:space="preserve"> </w:t>
            </w:r>
            <w:r w:rsidR="00433A8D" w:rsidRPr="003F72A9">
              <w:rPr>
                <w:rFonts w:asciiTheme="majorHAnsi" w:hAnsiTheme="majorHAnsi"/>
                <w:b/>
                <w:sz w:val="20"/>
                <w:szCs w:val="20"/>
                <w:lang w:val="en-US"/>
              </w:rPr>
              <w:t>–</w:t>
            </w:r>
            <w:r w:rsidR="00433A8D" w:rsidRPr="006017C1">
              <w:rPr>
                <w:rFonts w:asciiTheme="majorHAnsi" w:hAnsiTheme="majorHAnsi"/>
                <w:sz w:val="20"/>
                <w:szCs w:val="20"/>
                <w:lang w:val="en-US"/>
              </w:rPr>
              <w:t xml:space="preserve"> </w:t>
            </w:r>
            <w:r w:rsidR="00433A8D">
              <w:rPr>
                <w:rFonts w:asciiTheme="majorHAnsi" w:hAnsiTheme="majorHAnsi"/>
                <w:sz w:val="20"/>
                <w:szCs w:val="20"/>
                <w:lang w:val="en-US"/>
              </w:rPr>
              <w:t>In 2005</w:t>
            </w:r>
            <w:r w:rsidR="00CB4638">
              <w:rPr>
                <w:rFonts w:asciiTheme="majorHAnsi" w:hAnsiTheme="majorHAnsi"/>
                <w:sz w:val="20"/>
                <w:szCs w:val="20"/>
                <w:lang w:val="en-US"/>
              </w:rPr>
              <w:t>,</w:t>
            </w:r>
            <w:r w:rsidR="00433A8D">
              <w:rPr>
                <w:rFonts w:asciiTheme="majorHAnsi" w:hAnsiTheme="majorHAnsi"/>
                <w:sz w:val="20"/>
                <w:szCs w:val="20"/>
                <w:lang w:val="en-US"/>
              </w:rPr>
              <w:t xml:space="preserve"> AFP began supporting the </w:t>
            </w:r>
            <w:r w:rsidR="00433A8D" w:rsidRPr="00BF7429">
              <w:rPr>
                <w:rFonts w:asciiTheme="majorHAnsi" w:hAnsiTheme="majorHAnsi"/>
                <w:sz w:val="20"/>
                <w:szCs w:val="20"/>
                <w:lang w:val="en-US"/>
              </w:rPr>
              <w:t>Tbilisi State University</w:t>
            </w:r>
            <w:r w:rsidR="00433A8D">
              <w:rPr>
                <w:rFonts w:asciiTheme="majorHAnsi" w:hAnsiTheme="majorHAnsi"/>
                <w:sz w:val="20"/>
                <w:szCs w:val="20"/>
                <w:lang w:val="en-US"/>
              </w:rPr>
              <w:t>’s Gender Studies,</w:t>
            </w:r>
            <w:r w:rsidR="00C80DFE">
              <w:rPr>
                <w:rFonts w:asciiTheme="majorHAnsi" w:hAnsiTheme="majorHAnsi"/>
                <w:sz w:val="20"/>
                <w:szCs w:val="20"/>
                <w:lang w:val="en-US"/>
              </w:rPr>
              <w:t xml:space="preserve"> International Relations,</w:t>
            </w:r>
            <w:r w:rsidR="00433A8D">
              <w:rPr>
                <w:rFonts w:asciiTheme="majorHAnsi" w:hAnsiTheme="majorHAnsi"/>
                <w:sz w:val="20"/>
                <w:szCs w:val="20"/>
                <w:lang w:val="en-US"/>
              </w:rPr>
              <w:t xml:space="preserve"> Social Work, Sociology, and</w:t>
            </w:r>
            <w:r w:rsidR="00433A8D" w:rsidRPr="00BF7429">
              <w:rPr>
                <w:rFonts w:asciiTheme="majorHAnsi" w:hAnsiTheme="majorHAnsi"/>
                <w:sz w:val="20"/>
                <w:szCs w:val="20"/>
                <w:lang w:val="en-US"/>
              </w:rPr>
              <w:t xml:space="preserve"> Psychology </w:t>
            </w:r>
            <w:r w:rsidR="00A55985">
              <w:rPr>
                <w:rFonts w:asciiTheme="majorHAnsi" w:hAnsiTheme="majorHAnsi"/>
                <w:sz w:val="20"/>
                <w:szCs w:val="20"/>
                <w:lang w:val="en-US"/>
              </w:rPr>
              <w:t xml:space="preserve">Departments. Inspired by changes </w:t>
            </w:r>
            <w:r w:rsidR="00C80DFE">
              <w:rPr>
                <w:rFonts w:asciiTheme="majorHAnsi" w:hAnsiTheme="majorHAnsi"/>
                <w:sz w:val="20"/>
                <w:szCs w:val="20"/>
                <w:lang w:val="en-US"/>
              </w:rPr>
              <w:t xml:space="preserve">in </w:t>
            </w:r>
            <w:r w:rsidR="00433A8D">
              <w:rPr>
                <w:rFonts w:asciiTheme="majorHAnsi" w:hAnsiTheme="majorHAnsi"/>
                <w:sz w:val="20"/>
                <w:szCs w:val="20"/>
                <w:lang w:val="en-US"/>
              </w:rPr>
              <w:t xml:space="preserve">those disciplines the </w:t>
            </w:r>
            <w:r w:rsidR="00433A8D" w:rsidRPr="00BF7429">
              <w:rPr>
                <w:rFonts w:asciiTheme="majorHAnsi" w:hAnsiTheme="majorHAnsi"/>
                <w:sz w:val="20"/>
                <w:szCs w:val="20"/>
                <w:lang w:val="en-US"/>
              </w:rPr>
              <w:t xml:space="preserve">Journalism, Law, </w:t>
            </w:r>
            <w:r w:rsidR="00433A8D">
              <w:rPr>
                <w:rFonts w:asciiTheme="majorHAnsi" w:hAnsiTheme="majorHAnsi"/>
                <w:sz w:val="20"/>
                <w:szCs w:val="20"/>
                <w:lang w:val="en-US"/>
              </w:rPr>
              <w:t xml:space="preserve">and </w:t>
            </w:r>
            <w:r w:rsidR="00433A8D" w:rsidRPr="00BF7429">
              <w:rPr>
                <w:rFonts w:asciiTheme="majorHAnsi" w:hAnsiTheme="majorHAnsi"/>
                <w:sz w:val="20"/>
                <w:szCs w:val="20"/>
                <w:lang w:val="en-US"/>
              </w:rPr>
              <w:t xml:space="preserve">Public Health </w:t>
            </w:r>
            <w:r w:rsidR="00433A8D">
              <w:rPr>
                <w:rFonts w:asciiTheme="majorHAnsi" w:hAnsiTheme="majorHAnsi"/>
                <w:sz w:val="20"/>
                <w:szCs w:val="20"/>
                <w:lang w:val="en-US"/>
              </w:rPr>
              <w:t>Departments all subsequently solicited AFP assistance in the form of Returning and International Scholars</w:t>
            </w:r>
            <w:r w:rsidR="00433A8D" w:rsidRPr="00BF7429">
              <w:rPr>
                <w:rFonts w:asciiTheme="majorHAnsi" w:hAnsiTheme="majorHAnsi"/>
                <w:sz w:val="20"/>
                <w:szCs w:val="20"/>
                <w:lang w:val="en-US"/>
              </w:rPr>
              <w:t xml:space="preserve">. </w:t>
            </w:r>
            <w:r w:rsidR="00433A8D">
              <w:rPr>
                <w:rFonts w:asciiTheme="majorHAnsi" w:hAnsiTheme="majorHAnsi"/>
                <w:sz w:val="20"/>
                <w:szCs w:val="20"/>
                <w:lang w:val="en-US"/>
              </w:rPr>
              <w:t xml:space="preserve">This intervention </w:t>
            </w:r>
            <w:r w:rsidR="00433A8D" w:rsidRPr="00641390">
              <w:rPr>
                <w:rFonts w:asciiTheme="majorHAnsi" w:hAnsiTheme="majorHAnsi"/>
                <w:sz w:val="20"/>
                <w:szCs w:val="20"/>
                <w:lang w:val="en-US"/>
              </w:rPr>
              <w:t xml:space="preserve">also had a spill-over effect outside of the university. Tbilisi’s other significant higher education institution, Ilia State University, </w:t>
            </w:r>
            <w:r w:rsidR="00A25566" w:rsidRPr="00641390">
              <w:rPr>
                <w:rFonts w:asciiTheme="majorHAnsi" w:hAnsiTheme="majorHAnsi"/>
                <w:sz w:val="20"/>
                <w:szCs w:val="20"/>
                <w:lang w:val="en-US"/>
              </w:rPr>
              <w:t xml:space="preserve">recognized that AFP was a serious tool for internal development and </w:t>
            </w:r>
            <w:r w:rsidR="00433A8D" w:rsidRPr="00641390">
              <w:rPr>
                <w:rFonts w:asciiTheme="majorHAnsi" w:hAnsiTheme="majorHAnsi"/>
                <w:sz w:val="20"/>
                <w:szCs w:val="20"/>
                <w:lang w:val="en-US"/>
              </w:rPr>
              <w:t>also applied for AFP support, which was granted for its Medieval Studies Department (other departments applied but were turned down).</w:t>
            </w:r>
            <w:r w:rsidR="00DC3492" w:rsidRPr="00641390">
              <w:rPr>
                <w:rFonts w:asciiTheme="majorHAnsi" w:hAnsiTheme="majorHAnsi"/>
                <w:sz w:val="20"/>
                <w:szCs w:val="20"/>
                <w:lang w:val="en-US"/>
              </w:rPr>
              <w:t xml:space="preserve"> </w:t>
            </w:r>
            <w:r w:rsidR="008A76B0" w:rsidRPr="00641390">
              <w:rPr>
                <w:rFonts w:asciiTheme="majorHAnsi" w:hAnsiTheme="majorHAnsi"/>
                <w:sz w:val="20"/>
                <w:szCs w:val="20"/>
                <w:lang w:val="en-US"/>
              </w:rPr>
              <w:t>AFP’s support in Tbilisi led to the</w:t>
            </w:r>
            <w:r w:rsidR="00DC3492" w:rsidRPr="00641390">
              <w:rPr>
                <w:rFonts w:asciiTheme="majorHAnsi" w:hAnsiTheme="majorHAnsi"/>
                <w:sz w:val="20"/>
                <w:szCs w:val="20"/>
                <w:lang w:val="en-US"/>
              </w:rPr>
              <w:t xml:space="preserve"> formation of a critical </w:t>
            </w:r>
            <w:r w:rsidR="00EA43AD" w:rsidRPr="00641390">
              <w:rPr>
                <w:rFonts w:asciiTheme="majorHAnsi" w:hAnsiTheme="majorHAnsi"/>
                <w:sz w:val="20"/>
                <w:szCs w:val="20"/>
                <w:lang w:val="en-US"/>
              </w:rPr>
              <w:t>mass</w:t>
            </w:r>
            <w:r w:rsidR="008A76B0" w:rsidRPr="00641390">
              <w:rPr>
                <w:rFonts w:asciiTheme="majorHAnsi" w:hAnsiTheme="majorHAnsi"/>
                <w:sz w:val="20"/>
                <w:szCs w:val="20"/>
                <w:lang w:val="en-US"/>
              </w:rPr>
              <w:t xml:space="preserve"> of reformist scholars and departments </w:t>
            </w:r>
            <w:r w:rsidR="00547A3B">
              <w:rPr>
                <w:rFonts w:asciiTheme="majorHAnsi" w:hAnsiTheme="majorHAnsi"/>
                <w:sz w:val="20"/>
                <w:szCs w:val="20"/>
                <w:lang w:val="en-US"/>
              </w:rPr>
              <w:t xml:space="preserve">across the two major universities </w:t>
            </w:r>
            <w:r w:rsidR="00EA43AD" w:rsidRPr="00641390">
              <w:rPr>
                <w:rFonts w:asciiTheme="majorHAnsi" w:hAnsiTheme="majorHAnsi"/>
                <w:sz w:val="20"/>
                <w:szCs w:val="20"/>
                <w:lang w:val="en-US"/>
              </w:rPr>
              <w:t>in Georgia</w:t>
            </w:r>
            <w:r w:rsidR="0047400C" w:rsidRPr="00641390">
              <w:rPr>
                <w:rFonts w:asciiTheme="majorHAnsi" w:hAnsiTheme="majorHAnsi"/>
                <w:sz w:val="20"/>
                <w:szCs w:val="20"/>
                <w:lang w:val="en-US"/>
              </w:rPr>
              <w:t>.</w:t>
            </w:r>
          </w:p>
        </w:tc>
      </w:tr>
    </w:tbl>
    <w:p w:rsidR="009A5E22" w:rsidRDefault="009A5E22" w:rsidP="009A5E22">
      <w:pPr>
        <w:spacing w:after="0" w:line="240" w:lineRule="auto"/>
        <w:jc w:val="both"/>
        <w:rPr>
          <w:lang w:val="en-US"/>
        </w:rPr>
      </w:pPr>
    </w:p>
    <w:p w:rsidR="00B72C56" w:rsidRDefault="00835E8A" w:rsidP="008C715F">
      <w:pPr>
        <w:spacing w:line="240" w:lineRule="auto"/>
        <w:jc w:val="both"/>
        <w:rPr>
          <w:lang w:val="en-US"/>
        </w:rPr>
      </w:pPr>
      <w:r w:rsidRPr="0098640B">
        <w:rPr>
          <w:lang w:val="en-US"/>
        </w:rPr>
        <w:t xml:space="preserve">At the same time, </w:t>
      </w:r>
      <w:r w:rsidR="0045615B" w:rsidRPr="0098640B">
        <w:rPr>
          <w:lang w:val="en-US"/>
        </w:rPr>
        <w:t>AFP has</w:t>
      </w:r>
      <w:r w:rsidR="00C93280" w:rsidRPr="0098640B">
        <w:rPr>
          <w:lang w:val="en-US"/>
        </w:rPr>
        <w:t xml:space="preserve"> also</w:t>
      </w:r>
      <w:r w:rsidR="0045615B" w:rsidRPr="0098640B">
        <w:rPr>
          <w:lang w:val="en-US"/>
        </w:rPr>
        <w:t xml:space="preserve"> partnered with </w:t>
      </w:r>
      <w:r w:rsidR="00C80DFE" w:rsidRPr="0098640B">
        <w:rPr>
          <w:lang w:val="en-US"/>
        </w:rPr>
        <w:t xml:space="preserve">departments </w:t>
      </w:r>
      <w:r w:rsidR="00C80DFE">
        <w:rPr>
          <w:lang w:val="en-US"/>
        </w:rPr>
        <w:t xml:space="preserve">at </w:t>
      </w:r>
      <w:r w:rsidR="00C93280" w:rsidRPr="0098640B">
        <w:rPr>
          <w:lang w:val="en-US"/>
        </w:rPr>
        <w:t>universit</w:t>
      </w:r>
      <w:r w:rsidR="00C80DFE">
        <w:rPr>
          <w:lang w:val="en-US"/>
        </w:rPr>
        <w:t>ies</w:t>
      </w:r>
      <w:r w:rsidR="00C93280" w:rsidRPr="0098640B">
        <w:rPr>
          <w:lang w:val="en-US"/>
        </w:rPr>
        <w:t xml:space="preserve"> </w:t>
      </w:r>
      <w:r w:rsidR="00236839" w:rsidRPr="0098640B">
        <w:rPr>
          <w:lang w:val="en-US"/>
        </w:rPr>
        <w:t>managed by</w:t>
      </w:r>
      <w:r w:rsidR="007B3031" w:rsidRPr="0098640B">
        <w:rPr>
          <w:lang w:val="en-US"/>
        </w:rPr>
        <w:t xml:space="preserve"> conservative administration</w:t>
      </w:r>
      <w:r w:rsidR="00C93280" w:rsidRPr="0098640B">
        <w:rPr>
          <w:lang w:val="en-US"/>
        </w:rPr>
        <w:t>s</w:t>
      </w:r>
      <w:r w:rsidR="002F2C2A">
        <w:rPr>
          <w:lang w:val="en-US"/>
        </w:rPr>
        <w:t>,</w:t>
      </w:r>
      <w:r w:rsidR="0045615B" w:rsidRPr="0098640B">
        <w:rPr>
          <w:lang w:val="en-US"/>
        </w:rPr>
        <w:t xml:space="preserve"> </w:t>
      </w:r>
      <w:r w:rsidR="00236839" w:rsidRPr="0098640B">
        <w:rPr>
          <w:lang w:val="en-US"/>
        </w:rPr>
        <w:t xml:space="preserve">with the hope of </w:t>
      </w:r>
      <w:r w:rsidR="006C6F76">
        <w:rPr>
          <w:lang w:val="en-US"/>
        </w:rPr>
        <w:t xml:space="preserve">them </w:t>
      </w:r>
      <w:r w:rsidR="00353271">
        <w:rPr>
          <w:lang w:val="en-US"/>
        </w:rPr>
        <w:t xml:space="preserve">serving as a </w:t>
      </w:r>
      <w:r w:rsidR="00353271" w:rsidRPr="00641390">
        <w:rPr>
          <w:lang w:val="en-US"/>
        </w:rPr>
        <w:t xml:space="preserve">bridgehead of reform to inspire other </w:t>
      </w:r>
      <w:r w:rsidR="003D6C48">
        <w:rPr>
          <w:lang w:val="en-US"/>
        </w:rPr>
        <w:t>departmen</w:t>
      </w:r>
      <w:r w:rsidR="006C6F76" w:rsidRPr="00641390">
        <w:rPr>
          <w:lang w:val="en-US"/>
        </w:rPr>
        <w:t>ts</w:t>
      </w:r>
      <w:r w:rsidR="00353271" w:rsidRPr="00641390">
        <w:rPr>
          <w:lang w:val="en-US"/>
        </w:rPr>
        <w:t xml:space="preserve"> within th</w:t>
      </w:r>
      <w:r w:rsidR="006C6F76" w:rsidRPr="00641390">
        <w:rPr>
          <w:lang w:val="en-US"/>
        </w:rPr>
        <w:t>ose</w:t>
      </w:r>
      <w:r w:rsidR="00236839" w:rsidRPr="00641390">
        <w:rPr>
          <w:lang w:val="en-US"/>
        </w:rPr>
        <w:t xml:space="preserve"> institution</w:t>
      </w:r>
      <w:r w:rsidR="006C6F76" w:rsidRPr="00641390">
        <w:rPr>
          <w:lang w:val="en-US"/>
        </w:rPr>
        <w:t>s</w:t>
      </w:r>
      <w:r w:rsidR="0045615B" w:rsidRPr="00641390">
        <w:rPr>
          <w:lang w:val="en-US"/>
        </w:rPr>
        <w:t>.</w:t>
      </w:r>
      <w:r w:rsidR="00907A43" w:rsidRPr="00641390">
        <w:rPr>
          <w:lang w:val="en-US"/>
        </w:rPr>
        <w:t xml:space="preserve"> </w:t>
      </w:r>
      <w:r w:rsidR="00E3275D" w:rsidRPr="00641390">
        <w:rPr>
          <w:lang w:val="en-US"/>
        </w:rPr>
        <w:t>The universities selected for such experimentation</w:t>
      </w:r>
      <w:r w:rsidR="00611503" w:rsidRPr="00641390">
        <w:rPr>
          <w:lang w:val="en-US"/>
        </w:rPr>
        <w:t xml:space="preserve">—including </w:t>
      </w:r>
      <w:r w:rsidR="002F2C2A">
        <w:rPr>
          <w:lang w:val="en-US"/>
        </w:rPr>
        <w:t xml:space="preserve">Baku State University (Azerbaijan), </w:t>
      </w:r>
      <w:r w:rsidR="00615DBB" w:rsidRPr="00641390">
        <w:rPr>
          <w:lang w:val="en-US"/>
        </w:rPr>
        <w:t xml:space="preserve">Tajik National University, </w:t>
      </w:r>
      <w:r w:rsidR="00611503" w:rsidRPr="00641390">
        <w:rPr>
          <w:lang w:val="en-US"/>
        </w:rPr>
        <w:t>Azerbaijan State Economics University and Russia’s Perm State University—</w:t>
      </w:r>
      <w:r w:rsidR="00E3275D" w:rsidRPr="00641390">
        <w:rPr>
          <w:lang w:val="en-US"/>
        </w:rPr>
        <w:t xml:space="preserve">were those that expressed interest in working with AFP. </w:t>
      </w:r>
      <w:r w:rsidR="006C6F76" w:rsidRPr="00641390">
        <w:rPr>
          <w:lang w:val="en-US"/>
        </w:rPr>
        <w:t>AFP took a</w:t>
      </w:r>
      <w:r w:rsidR="00E3275D" w:rsidRPr="00641390">
        <w:rPr>
          <w:lang w:val="en-US"/>
        </w:rPr>
        <w:t xml:space="preserve"> trial and error</w:t>
      </w:r>
      <w:r w:rsidR="00686674" w:rsidRPr="00641390">
        <w:rPr>
          <w:lang w:val="en-US"/>
        </w:rPr>
        <w:t xml:space="preserve"> approach</w:t>
      </w:r>
      <w:r w:rsidR="00E3275D" w:rsidRPr="00641390">
        <w:rPr>
          <w:lang w:val="en-US"/>
        </w:rPr>
        <w:t xml:space="preserve"> </w:t>
      </w:r>
      <w:r w:rsidR="00A825B2" w:rsidRPr="00641390">
        <w:rPr>
          <w:lang w:val="en-US"/>
        </w:rPr>
        <w:t>a</w:t>
      </w:r>
      <w:r w:rsidR="009B1F29" w:rsidRPr="00641390">
        <w:rPr>
          <w:lang w:val="en-US"/>
        </w:rPr>
        <w:t>nd although it</w:t>
      </w:r>
      <w:r w:rsidR="00430848" w:rsidRPr="00641390">
        <w:rPr>
          <w:lang w:val="en-US"/>
        </w:rPr>
        <w:t>s efforts</w:t>
      </w:r>
      <w:r w:rsidR="009B1F29" w:rsidRPr="00641390">
        <w:rPr>
          <w:lang w:val="en-US"/>
        </w:rPr>
        <w:t xml:space="preserve"> seldom led to the broader creation of </w:t>
      </w:r>
      <w:r w:rsidR="00A825B2" w:rsidRPr="00641390">
        <w:rPr>
          <w:lang w:val="en-US"/>
        </w:rPr>
        <w:t>conditions amenable for</w:t>
      </w:r>
      <w:r w:rsidR="009B1F29" w:rsidRPr="00641390">
        <w:rPr>
          <w:lang w:val="en-US"/>
        </w:rPr>
        <w:t xml:space="preserve"> general academic</w:t>
      </w:r>
      <w:r w:rsidR="009B1F29">
        <w:rPr>
          <w:lang w:val="en-US"/>
        </w:rPr>
        <w:t xml:space="preserve"> reform, there are some </w:t>
      </w:r>
      <w:r w:rsidR="006C4F33">
        <w:rPr>
          <w:lang w:val="en-US"/>
        </w:rPr>
        <w:t xml:space="preserve">isolated </w:t>
      </w:r>
      <w:r w:rsidR="009B1F29">
        <w:rPr>
          <w:lang w:val="en-US"/>
        </w:rPr>
        <w:t>notable success stories</w:t>
      </w:r>
      <w:r w:rsidR="006C4F33">
        <w:rPr>
          <w:lang w:val="en-US"/>
        </w:rPr>
        <w:t>, such as at Baku State University:</w:t>
      </w:r>
      <w:r w:rsidR="00C2020F">
        <w:rPr>
          <w:lang w:val="en-US"/>
        </w:rPr>
        <w:t xml:space="preserve"> </w:t>
      </w:r>
    </w:p>
    <w:tbl>
      <w:tblPr>
        <w:tblStyle w:val="TableGrid"/>
        <w:tblW w:w="0" w:type="auto"/>
        <w:tblInd w:w="468" w:type="dxa"/>
        <w:shd w:val="clear" w:color="auto" w:fill="DDD9C3" w:themeFill="background2" w:themeFillShade="E6"/>
        <w:tblLook w:val="04A0" w:firstRow="1" w:lastRow="0" w:firstColumn="1" w:lastColumn="0" w:noHBand="0" w:noVBand="1"/>
      </w:tblPr>
      <w:tblGrid>
        <w:gridCol w:w="8820"/>
      </w:tblGrid>
      <w:tr w:rsidR="00B72C56" w:rsidTr="007855C9">
        <w:trPr>
          <w:trHeight w:val="440"/>
        </w:trPr>
        <w:tc>
          <w:tcPr>
            <w:tcW w:w="8820" w:type="dxa"/>
            <w:shd w:val="clear" w:color="auto" w:fill="EEECE1" w:themeFill="background2"/>
          </w:tcPr>
          <w:p w:rsidR="00B72C56" w:rsidRDefault="00981D0F" w:rsidP="00C82017">
            <w:pPr>
              <w:spacing w:after="0" w:line="240" w:lineRule="auto"/>
              <w:jc w:val="both"/>
              <w:rPr>
                <w:lang w:val="en-US"/>
              </w:rPr>
            </w:pPr>
            <w:r w:rsidRPr="003F72A9">
              <w:rPr>
                <w:rFonts w:asciiTheme="majorHAnsi" w:hAnsiTheme="majorHAnsi"/>
                <w:b/>
                <w:sz w:val="20"/>
                <w:szCs w:val="20"/>
                <w:lang w:val="en-US"/>
              </w:rPr>
              <w:t xml:space="preserve">Success Story – </w:t>
            </w:r>
            <w:r w:rsidR="00615DBB">
              <w:rPr>
                <w:rFonts w:asciiTheme="majorHAnsi" w:hAnsiTheme="majorHAnsi"/>
                <w:sz w:val="20"/>
                <w:szCs w:val="20"/>
                <w:lang w:val="en-US"/>
              </w:rPr>
              <w:t>At Baku State University</w:t>
            </w:r>
            <w:r w:rsidRPr="003F72A9">
              <w:rPr>
                <w:rFonts w:asciiTheme="majorHAnsi" w:hAnsiTheme="majorHAnsi"/>
                <w:sz w:val="20"/>
                <w:szCs w:val="20"/>
                <w:lang w:val="en-US"/>
              </w:rPr>
              <w:t xml:space="preserve"> a team of </w:t>
            </w:r>
            <w:r w:rsidR="00F93C73" w:rsidRPr="003F72A9">
              <w:rPr>
                <w:rFonts w:asciiTheme="majorHAnsi" w:hAnsiTheme="majorHAnsi"/>
                <w:sz w:val="20"/>
                <w:szCs w:val="20"/>
                <w:lang w:val="en-US"/>
              </w:rPr>
              <w:t xml:space="preserve">10 </w:t>
            </w:r>
            <w:r w:rsidRPr="003F72A9">
              <w:rPr>
                <w:rFonts w:asciiTheme="majorHAnsi" w:hAnsiTheme="majorHAnsi"/>
                <w:sz w:val="20"/>
                <w:szCs w:val="20"/>
                <w:lang w:val="en-US"/>
              </w:rPr>
              <w:t>dedicated Returning Scholars</w:t>
            </w:r>
            <w:r w:rsidR="00F93C73" w:rsidRPr="003F72A9">
              <w:rPr>
                <w:rFonts w:asciiTheme="majorHAnsi" w:hAnsiTheme="majorHAnsi"/>
                <w:sz w:val="20"/>
                <w:szCs w:val="20"/>
                <w:lang w:val="en-US"/>
              </w:rPr>
              <w:t>—seven of whom are still in place—</w:t>
            </w:r>
            <w:r w:rsidR="005E5FCC" w:rsidRPr="003F72A9">
              <w:rPr>
                <w:rFonts w:asciiTheme="majorHAnsi" w:hAnsiTheme="majorHAnsi"/>
                <w:sz w:val="20"/>
                <w:szCs w:val="20"/>
                <w:lang w:val="en-US"/>
              </w:rPr>
              <w:t>managed to launch an</w:t>
            </w:r>
            <w:r w:rsidRPr="003F72A9">
              <w:rPr>
                <w:rFonts w:asciiTheme="majorHAnsi" w:hAnsiTheme="majorHAnsi"/>
                <w:sz w:val="20"/>
                <w:szCs w:val="20"/>
                <w:lang w:val="en-US"/>
              </w:rPr>
              <w:t xml:space="preserve"> </w:t>
            </w:r>
            <w:r w:rsidR="00660EC1" w:rsidRPr="003F72A9">
              <w:rPr>
                <w:rFonts w:asciiTheme="majorHAnsi" w:hAnsiTheme="majorHAnsi"/>
                <w:sz w:val="20"/>
                <w:szCs w:val="20"/>
                <w:lang w:val="en-US"/>
              </w:rPr>
              <w:t xml:space="preserve">LLM </w:t>
            </w:r>
            <w:r w:rsidR="00F530B9" w:rsidRPr="003F72A9">
              <w:rPr>
                <w:rFonts w:asciiTheme="majorHAnsi" w:hAnsiTheme="majorHAnsi"/>
                <w:sz w:val="20"/>
                <w:szCs w:val="20"/>
                <w:lang w:val="en-US"/>
              </w:rPr>
              <w:t>in Human Rights</w:t>
            </w:r>
            <w:r w:rsidR="00333BE1">
              <w:rPr>
                <w:rFonts w:asciiTheme="majorHAnsi" w:hAnsiTheme="majorHAnsi"/>
                <w:sz w:val="20"/>
                <w:szCs w:val="20"/>
                <w:lang w:val="en-US"/>
              </w:rPr>
              <w:t xml:space="preserve"> in the</w:t>
            </w:r>
            <w:r w:rsidR="00B55E6A">
              <w:rPr>
                <w:rFonts w:asciiTheme="majorHAnsi" w:hAnsiTheme="majorHAnsi"/>
                <w:sz w:val="20"/>
                <w:szCs w:val="20"/>
                <w:lang w:val="en-US"/>
              </w:rPr>
              <w:t xml:space="preserve"> 2009/10 academic year</w:t>
            </w:r>
            <w:r w:rsidR="00660EC1" w:rsidRPr="003F72A9">
              <w:rPr>
                <w:rFonts w:asciiTheme="majorHAnsi" w:hAnsiTheme="majorHAnsi"/>
                <w:sz w:val="20"/>
                <w:szCs w:val="20"/>
                <w:lang w:val="en-US"/>
              </w:rPr>
              <w:t xml:space="preserve">. </w:t>
            </w:r>
            <w:r w:rsidR="00F93C73" w:rsidRPr="003F72A9">
              <w:rPr>
                <w:rFonts w:asciiTheme="majorHAnsi" w:hAnsiTheme="majorHAnsi"/>
                <w:sz w:val="20"/>
                <w:szCs w:val="20"/>
                <w:lang w:val="en-US"/>
              </w:rPr>
              <w:t xml:space="preserve">Leonard Hammer from </w:t>
            </w:r>
            <w:r w:rsidR="002139F4" w:rsidRPr="003F72A9">
              <w:rPr>
                <w:rFonts w:asciiTheme="majorHAnsi" w:hAnsiTheme="majorHAnsi"/>
                <w:sz w:val="20"/>
                <w:szCs w:val="20"/>
                <w:lang w:val="en-US"/>
              </w:rPr>
              <w:t>the University of Arizona</w:t>
            </w:r>
            <w:r w:rsidR="00F93C73" w:rsidRPr="003F72A9">
              <w:rPr>
                <w:rFonts w:asciiTheme="majorHAnsi" w:hAnsiTheme="majorHAnsi"/>
                <w:sz w:val="20"/>
                <w:szCs w:val="20"/>
                <w:lang w:val="en-US"/>
              </w:rPr>
              <w:t xml:space="preserve"> </w:t>
            </w:r>
            <w:r w:rsidR="005E5FCC" w:rsidRPr="003F72A9">
              <w:rPr>
                <w:rFonts w:asciiTheme="majorHAnsi" w:hAnsiTheme="majorHAnsi"/>
                <w:sz w:val="20"/>
                <w:szCs w:val="20"/>
                <w:lang w:val="en-US"/>
              </w:rPr>
              <w:t xml:space="preserve">skillfully </w:t>
            </w:r>
            <w:r w:rsidR="00F93C73" w:rsidRPr="003F72A9">
              <w:rPr>
                <w:rFonts w:asciiTheme="majorHAnsi" w:hAnsiTheme="majorHAnsi"/>
                <w:sz w:val="20"/>
                <w:szCs w:val="20"/>
                <w:lang w:val="en-US"/>
              </w:rPr>
              <w:t>mentored the process</w:t>
            </w:r>
            <w:r w:rsidR="005E5FCC" w:rsidRPr="003F72A9">
              <w:rPr>
                <w:rFonts w:asciiTheme="majorHAnsi" w:hAnsiTheme="majorHAnsi"/>
                <w:sz w:val="20"/>
                <w:szCs w:val="20"/>
                <w:lang w:val="en-US"/>
              </w:rPr>
              <w:t xml:space="preserve"> and led the charge to get the </w:t>
            </w:r>
            <w:r w:rsidR="00B55E6A">
              <w:rPr>
                <w:rFonts w:asciiTheme="majorHAnsi" w:hAnsiTheme="majorHAnsi"/>
                <w:sz w:val="20"/>
                <w:szCs w:val="20"/>
                <w:lang w:val="en-US"/>
              </w:rPr>
              <w:t xml:space="preserve">LLM </w:t>
            </w:r>
            <w:r w:rsidR="005E5FCC" w:rsidRPr="003F72A9">
              <w:rPr>
                <w:rFonts w:asciiTheme="majorHAnsi" w:hAnsiTheme="majorHAnsi"/>
                <w:sz w:val="20"/>
                <w:szCs w:val="20"/>
                <w:lang w:val="en-US"/>
              </w:rPr>
              <w:t>accredited</w:t>
            </w:r>
            <w:r w:rsidR="00F93C73" w:rsidRPr="003F72A9">
              <w:rPr>
                <w:rFonts w:asciiTheme="majorHAnsi" w:hAnsiTheme="majorHAnsi"/>
                <w:sz w:val="20"/>
                <w:szCs w:val="20"/>
                <w:lang w:val="en-US"/>
              </w:rPr>
              <w:t xml:space="preserve"> while serving as an AFP International Scholar</w:t>
            </w:r>
            <w:r w:rsidR="00551BC9" w:rsidRPr="003F72A9">
              <w:rPr>
                <w:rFonts w:asciiTheme="majorHAnsi" w:hAnsiTheme="majorHAnsi"/>
                <w:sz w:val="20"/>
                <w:szCs w:val="20"/>
                <w:lang w:val="en-US"/>
              </w:rPr>
              <w:t>. The fully functional department</w:t>
            </w:r>
            <w:r w:rsidR="00B55E6A">
              <w:rPr>
                <w:rFonts w:asciiTheme="majorHAnsi" w:hAnsiTheme="majorHAnsi"/>
                <w:sz w:val="20"/>
                <w:szCs w:val="20"/>
                <w:lang w:val="en-US"/>
              </w:rPr>
              <w:t xml:space="preserve"> of International Public Law </w:t>
            </w:r>
            <w:r w:rsidR="00EB2787" w:rsidRPr="003F72A9">
              <w:rPr>
                <w:rFonts w:asciiTheme="majorHAnsi" w:hAnsiTheme="majorHAnsi"/>
                <w:sz w:val="20"/>
                <w:szCs w:val="20"/>
                <w:lang w:val="en-US"/>
              </w:rPr>
              <w:t>gradua</w:t>
            </w:r>
            <w:r w:rsidR="005225A3" w:rsidRPr="003F72A9">
              <w:rPr>
                <w:rFonts w:asciiTheme="majorHAnsi" w:hAnsiTheme="majorHAnsi"/>
                <w:sz w:val="20"/>
                <w:szCs w:val="20"/>
                <w:lang w:val="en-US"/>
              </w:rPr>
              <w:t xml:space="preserve">tes some 10 students per year and has produced a cadre of knowledgeable and skilled young human rights lawyers in a country that previously had very few. </w:t>
            </w:r>
            <w:r w:rsidR="005647B9" w:rsidRPr="003F72A9">
              <w:rPr>
                <w:rFonts w:asciiTheme="majorHAnsi" w:hAnsiTheme="majorHAnsi"/>
                <w:sz w:val="20"/>
                <w:szCs w:val="20"/>
                <w:lang w:val="en-US"/>
              </w:rPr>
              <w:t xml:space="preserve">Although </w:t>
            </w:r>
            <w:r w:rsidR="00F12A28">
              <w:rPr>
                <w:rFonts w:asciiTheme="majorHAnsi" w:hAnsiTheme="majorHAnsi"/>
                <w:sz w:val="20"/>
                <w:szCs w:val="20"/>
                <w:lang w:val="en-US"/>
              </w:rPr>
              <w:t xml:space="preserve">the department contends </w:t>
            </w:r>
            <w:r w:rsidR="005647B9" w:rsidRPr="003F72A9">
              <w:rPr>
                <w:rFonts w:asciiTheme="majorHAnsi" w:hAnsiTheme="majorHAnsi"/>
                <w:sz w:val="20"/>
                <w:szCs w:val="20"/>
                <w:lang w:val="en-US"/>
              </w:rPr>
              <w:t>with constant political meddling, its survival to date is both a substantive and symbolic victory for the human rights movement in Azerbaijan.</w:t>
            </w:r>
            <w:r w:rsidR="00DB5188" w:rsidRPr="003F72A9">
              <w:rPr>
                <w:rFonts w:asciiTheme="majorHAnsi" w:hAnsiTheme="majorHAnsi"/>
                <w:sz w:val="20"/>
                <w:szCs w:val="20"/>
                <w:lang w:val="en-US"/>
              </w:rPr>
              <w:t xml:space="preserve"> </w:t>
            </w:r>
            <w:r w:rsidR="00AF6F5C">
              <w:rPr>
                <w:rFonts w:asciiTheme="majorHAnsi" w:hAnsiTheme="majorHAnsi"/>
                <w:sz w:val="20"/>
                <w:szCs w:val="20"/>
                <w:lang w:val="en-US"/>
              </w:rPr>
              <w:t>To date, however</w:t>
            </w:r>
            <w:r w:rsidR="00DB5188" w:rsidRPr="003F72A9">
              <w:rPr>
                <w:rFonts w:asciiTheme="majorHAnsi" w:hAnsiTheme="majorHAnsi"/>
                <w:sz w:val="20"/>
                <w:szCs w:val="20"/>
                <w:lang w:val="en-US"/>
              </w:rPr>
              <w:t xml:space="preserve">, </w:t>
            </w:r>
            <w:r w:rsidR="003D6C48">
              <w:rPr>
                <w:rFonts w:asciiTheme="majorHAnsi" w:hAnsiTheme="majorHAnsi"/>
                <w:sz w:val="20"/>
                <w:szCs w:val="20"/>
                <w:lang w:val="en-US"/>
              </w:rPr>
              <w:t>there has been no spill-over effect</w:t>
            </w:r>
            <w:r w:rsidR="00DB5188" w:rsidRPr="003F72A9">
              <w:rPr>
                <w:rFonts w:asciiTheme="majorHAnsi" w:hAnsiTheme="majorHAnsi"/>
                <w:sz w:val="20"/>
                <w:szCs w:val="20"/>
                <w:lang w:val="en-US"/>
              </w:rPr>
              <w:t xml:space="preserve"> </w:t>
            </w:r>
            <w:r w:rsidR="003D6C48">
              <w:rPr>
                <w:rFonts w:asciiTheme="majorHAnsi" w:hAnsiTheme="majorHAnsi"/>
                <w:sz w:val="20"/>
                <w:szCs w:val="20"/>
                <w:lang w:val="en-US"/>
              </w:rPr>
              <w:t>with</w:t>
            </w:r>
            <w:r w:rsidR="00DB5188" w:rsidRPr="003F72A9">
              <w:rPr>
                <w:rFonts w:asciiTheme="majorHAnsi" w:hAnsiTheme="majorHAnsi"/>
                <w:sz w:val="20"/>
                <w:szCs w:val="20"/>
                <w:lang w:val="en-US"/>
              </w:rPr>
              <w:t xml:space="preserve"> other Baku State departments.</w:t>
            </w:r>
          </w:p>
        </w:tc>
      </w:tr>
    </w:tbl>
    <w:p w:rsidR="00F12A28" w:rsidRDefault="00F12A28" w:rsidP="00686DFE">
      <w:pPr>
        <w:spacing w:after="0" w:line="240" w:lineRule="auto"/>
        <w:jc w:val="both"/>
        <w:rPr>
          <w:lang w:val="en-US"/>
        </w:rPr>
      </w:pPr>
    </w:p>
    <w:p w:rsidR="0032253E" w:rsidRDefault="002D41D7" w:rsidP="002D41D7">
      <w:pPr>
        <w:spacing w:line="240" w:lineRule="auto"/>
        <w:jc w:val="both"/>
        <w:rPr>
          <w:lang w:val="en-US"/>
        </w:rPr>
      </w:pPr>
      <w:r w:rsidRPr="002D41D7">
        <w:rPr>
          <w:lang w:val="en-US"/>
        </w:rPr>
        <w:t xml:space="preserve">There were other </w:t>
      </w:r>
      <w:r w:rsidR="00547A3B">
        <w:rPr>
          <w:lang w:val="en-US"/>
        </w:rPr>
        <w:t xml:space="preserve">attempts </w:t>
      </w:r>
      <w:r>
        <w:rPr>
          <w:lang w:val="en-US"/>
        </w:rPr>
        <w:t xml:space="preserve">where </w:t>
      </w:r>
      <w:r w:rsidRPr="002D41D7">
        <w:rPr>
          <w:lang w:val="en-US"/>
        </w:rPr>
        <w:t xml:space="preserve">the quality of leadership was not the </w:t>
      </w:r>
      <w:r w:rsidR="00E37CC6">
        <w:rPr>
          <w:lang w:val="en-US"/>
        </w:rPr>
        <w:t>undermining</w:t>
      </w:r>
      <w:r w:rsidRPr="002D41D7">
        <w:rPr>
          <w:lang w:val="en-US"/>
        </w:rPr>
        <w:t xml:space="preserve"> factor. In these instances lessons were learned, as </w:t>
      </w:r>
      <w:r w:rsidR="003D6C48">
        <w:rPr>
          <w:lang w:val="en-US"/>
        </w:rPr>
        <w:t>in</w:t>
      </w:r>
      <w:r w:rsidRPr="002D41D7">
        <w:rPr>
          <w:lang w:val="en-US"/>
        </w:rPr>
        <w:t xml:space="preserve"> the case </w:t>
      </w:r>
      <w:r w:rsidR="003D6C48">
        <w:rPr>
          <w:lang w:val="en-US"/>
        </w:rPr>
        <w:t>of</w:t>
      </w:r>
      <w:r>
        <w:rPr>
          <w:lang w:val="en-US"/>
        </w:rPr>
        <w:t xml:space="preserve"> the University of</w:t>
      </w:r>
      <w:r w:rsidRPr="002D41D7">
        <w:rPr>
          <w:lang w:val="en-US"/>
        </w:rPr>
        <w:t xml:space="preserve"> Sarajevo</w:t>
      </w:r>
      <w:r>
        <w:rPr>
          <w:lang w:val="en-US"/>
        </w:rPr>
        <w:t>.</w:t>
      </w:r>
    </w:p>
    <w:tbl>
      <w:tblPr>
        <w:tblStyle w:val="TableGrid"/>
        <w:tblW w:w="0" w:type="auto"/>
        <w:tblInd w:w="468" w:type="dxa"/>
        <w:tblLook w:val="04A0" w:firstRow="1" w:lastRow="0" w:firstColumn="1" w:lastColumn="0" w:noHBand="0" w:noVBand="1"/>
      </w:tblPr>
      <w:tblGrid>
        <w:gridCol w:w="8820"/>
      </w:tblGrid>
      <w:tr w:rsidR="0032253E" w:rsidTr="007855C9">
        <w:tc>
          <w:tcPr>
            <w:tcW w:w="8820" w:type="dxa"/>
            <w:shd w:val="clear" w:color="auto" w:fill="EEECE1" w:themeFill="background2"/>
          </w:tcPr>
          <w:p w:rsidR="0032253E" w:rsidRPr="008D13FE" w:rsidRDefault="0032253E" w:rsidP="00990E3B">
            <w:pPr>
              <w:spacing w:after="0" w:line="240" w:lineRule="auto"/>
              <w:jc w:val="both"/>
              <w:rPr>
                <w:rFonts w:asciiTheme="majorHAnsi" w:hAnsiTheme="majorHAnsi"/>
                <w:sz w:val="20"/>
                <w:szCs w:val="20"/>
                <w:lang w:val="en-US"/>
              </w:rPr>
            </w:pPr>
            <w:r w:rsidRPr="00685A52">
              <w:rPr>
                <w:rFonts w:asciiTheme="majorHAnsi" w:hAnsiTheme="majorHAnsi"/>
                <w:b/>
                <w:sz w:val="20"/>
                <w:szCs w:val="20"/>
                <w:lang w:val="en-US"/>
              </w:rPr>
              <w:t>Failure Case</w:t>
            </w:r>
            <w:r>
              <w:rPr>
                <w:rFonts w:asciiTheme="majorHAnsi" w:hAnsiTheme="majorHAnsi"/>
                <w:b/>
                <w:sz w:val="20"/>
                <w:szCs w:val="20"/>
                <w:lang w:val="en-US"/>
              </w:rPr>
              <w:t xml:space="preserve"> </w:t>
            </w:r>
            <w:r w:rsidRPr="003F72A9">
              <w:rPr>
                <w:rFonts w:asciiTheme="majorHAnsi" w:hAnsiTheme="majorHAnsi"/>
                <w:b/>
                <w:sz w:val="20"/>
                <w:szCs w:val="20"/>
                <w:lang w:val="en-US"/>
              </w:rPr>
              <w:t>–</w:t>
            </w:r>
            <w:r w:rsidRPr="004A6E32">
              <w:rPr>
                <w:rFonts w:asciiTheme="majorHAnsi" w:hAnsiTheme="majorHAnsi"/>
                <w:b/>
                <w:sz w:val="20"/>
                <w:szCs w:val="20"/>
                <w:lang w:val="en-US"/>
              </w:rPr>
              <w:t xml:space="preserve"> </w:t>
            </w:r>
            <w:r w:rsidR="00547A3B">
              <w:rPr>
                <w:rFonts w:asciiTheme="majorHAnsi" w:hAnsiTheme="majorHAnsi"/>
                <w:sz w:val="20"/>
                <w:szCs w:val="20"/>
                <w:lang w:val="en-US"/>
              </w:rPr>
              <w:t xml:space="preserve">In 2011 </w:t>
            </w:r>
            <w:r w:rsidRPr="004A6E32">
              <w:rPr>
                <w:rFonts w:asciiTheme="majorHAnsi" w:hAnsiTheme="majorHAnsi"/>
                <w:sz w:val="20"/>
                <w:szCs w:val="20"/>
                <w:lang w:val="en-US"/>
              </w:rPr>
              <w:t>University</w:t>
            </w:r>
            <w:r w:rsidR="00547A3B">
              <w:rPr>
                <w:rFonts w:asciiTheme="majorHAnsi" w:hAnsiTheme="majorHAnsi"/>
                <w:sz w:val="20"/>
                <w:szCs w:val="20"/>
                <w:lang w:val="en-US"/>
              </w:rPr>
              <w:t xml:space="preserve"> of Sarajevo</w:t>
            </w:r>
            <w:r w:rsidRPr="004A6E32">
              <w:rPr>
                <w:rFonts w:asciiTheme="majorHAnsi" w:hAnsiTheme="majorHAnsi"/>
                <w:sz w:val="20"/>
                <w:szCs w:val="20"/>
                <w:lang w:val="en-US"/>
              </w:rPr>
              <w:t xml:space="preserve"> </w:t>
            </w:r>
            <w:r w:rsidR="00CA157B">
              <w:rPr>
                <w:rFonts w:asciiTheme="majorHAnsi" w:hAnsiTheme="majorHAnsi"/>
                <w:sz w:val="20"/>
                <w:szCs w:val="20"/>
                <w:lang w:val="en-US"/>
              </w:rPr>
              <w:t>reached out to AFP to improve its</w:t>
            </w:r>
            <w:r w:rsidRPr="004A6E32">
              <w:rPr>
                <w:rFonts w:asciiTheme="majorHAnsi" w:hAnsiTheme="majorHAnsi"/>
                <w:sz w:val="20"/>
                <w:szCs w:val="20"/>
                <w:lang w:val="en-US"/>
              </w:rPr>
              <w:t xml:space="preserve"> Gender Studies department </w:t>
            </w:r>
            <w:r w:rsidR="00CA157B">
              <w:rPr>
                <w:rFonts w:asciiTheme="majorHAnsi" w:hAnsiTheme="majorHAnsi"/>
                <w:sz w:val="20"/>
                <w:szCs w:val="20"/>
                <w:lang w:val="en-US"/>
              </w:rPr>
              <w:t>managed by</w:t>
            </w:r>
            <w:r w:rsidRPr="004A6E32">
              <w:rPr>
                <w:rFonts w:asciiTheme="majorHAnsi" w:hAnsiTheme="majorHAnsi"/>
                <w:sz w:val="20"/>
                <w:szCs w:val="20"/>
                <w:lang w:val="en-US"/>
              </w:rPr>
              <w:t xml:space="preserve"> its affiliate, the Center for Interdisciplinary Postgraduate Studies (CIPS). </w:t>
            </w:r>
            <w:r w:rsidR="00CA157B">
              <w:rPr>
                <w:rFonts w:asciiTheme="majorHAnsi" w:hAnsiTheme="majorHAnsi"/>
                <w:sz w:val="20"/>
                <w:szCs w:val="20"/>
                <w:lang w:val="en-US"/>
              </w:rPr>
              <w:t xml:space="preserve">AFP responded </w:t>
            </w:r>
            <w:r w:rsidR="00BF4758">
              <w:rPr>
                <w:rFonts w:asciiTheme="majorHAnsi" w:hAnsiTheme="majorHAnsi"/>
                <w:sz w:val="20"/>
                <w:szCs w:val="20"/>
                <w:lang w:val="en-US"/>
              </w:rPr>
              <w:t xml:space="preserve">by </w:t>
            </w:r>
            <w:r w:rsidR="00E02220">
              <w:rPr>
                <w:rFonts w:asciiTheme="majorHAnsi" w:hAnsiTheme="majorHAnsi"/>
                <w:sz w:val="20"/>
                <w:szCs w:val="20"/>
                <w:lang w:val="en-US"/>
              </w:rPr>
              <w:t xml:space="preserve">supporting </w:t>
            </w:r>
            <w:r w:rsidR="009300C9">
              <w:rPr>
                <w:rFonts w:asciiTheme="majorHAnsi" w:hAnsiTheme="majorHAnsi"/>
                <w:sz w:val="20"/>
                <w:szCs w:val="20"/>
                <w:lang w:val="en-US"/>
              </w:rPr>
              <w:t>two</w:t>
            </w:r>
            <w:r w:rsidRPr="004A6E32">
              <w:rPr>
                <w:rFonts w:asciiTheme="majorHAnsi" w:hAnsiTheme="majorHAnsi"/>
                <w:sz w:val="20"/>
                <w:szCs w:val="20"/>
                <w:lang w:val="en-US"/>
              </w:rPr>
              <w:t xml:space="preserve"> Re</w:t>
            </w:r>
            <w:r w:rsidR="000E41B6">
              <w:rPr>
                <w:rFonts w:asciiTheme="majorHAnsi" w:hAnsiTheme="majorHAnsi"/>
                <w:sz w:val="20"/>
                <w:szCs w:val="20"/>
                <w:lang w:val="en-US"/>
              </w:rPr>
              <w:t>turning Scholars</w:t>
            </w:r>
            <w:r w:rsidR="00990E3B">
              <w:rPr>
                <w:rFonts w:asciiTheme="majorHAnsi" w:hAnsiTheme="majorHAnsi"/>
                <w:sz w:val="20"/>
                <w:szCs w:val="20"/>
                <w:lang w:val="en-US"/>
              </w:rPr>
              <w:t>.</w:t>
            </w:r>
            <w:r w:rsidR="000E41B6">
              <w:rPr>
                <w:rFonts w:asciiTheme="majorHAnsi" w:hAnsiTheme="majorHAnsi"/>
                <w:sz w:val="20"/>
                <w:szCs w:val="20"/>
                <w:lang w:val="en-US"/>
              </w:rPr>
              <w:t xml:space="preserve"> Things soured</w:t>
            </w:r>
            <w:r w:rsidRPr="004A6E32">
              <w:rPr>
                <w:rFonts w:asciiTheme="majorHAnsi" w:hAnsiTheme="majorHAnsi"/>
                <w:sz w:val="20"/>
                <w:szCs w:val="20"/>
                <w:lang w:val="en-US"/>
              </w:rPr>
              <w:t xml:space="preserve"> quickly, however. The financial sustainability of CIPS was soon called into question and by 2013 a lack of funds prohibited the admission of new students. Only one Returning Scholar stayed on in a tenuous arrangement as AFP learned its lesson to better invest in institutional due diligence, including a better reading of the management capacities and financial sustainability of its partner institutions.</w:t>
            </w:r>
          </w:p>
        </w:tc>
      </w:tr>
    </w:tbl>
    <w:p w:rsidR="0032253E" w:rsidRDefault="0032253E" w:rsidP="00686DFE">
      <w:pPr>
        <w:tabs>
          <w:tab w:val="left" w:pos="270"/>
        </w:tabs>
        <w:spacing w:after="0" w:line="240" w:lineRule="auto"/>
        <w:jc w:val="both"/>
        <w:rPr>
          <w:lang w:val="en-US"/>
        </w:rPr>
      </w:pPr>
    </w:p>
    <w:p w:rsidR="00B82F0C" w:rsidRPr="0098640B" w:rsidRDefault="00C365E0" w:rsidP="00AB5B1C">
      <w:pPr>
        <w:spacing w:line="240" w:lineRule="auto"/>
        <w:jc w:val="both"/>
        <w:rPr>
          <w:lang w:val="en-US"/>
        </w:rPr>
      </w:pPr>
      <w:r w:rsidRPr="0098640B">
        <w:rPr>
          <w:lang w:val="en-US"/>
        </w:rPr>
        <w:t xml:space="preserve">With the exception of Russia and Ukraine, most countries </w:t>
      </w:r>
      <w:r w:rsidR="005A1C67" w:rsidRPr="0098640B">
        <w:rPr>
          <w:lang w:val="en-US"/>
        </w:rPr>
        <w:t>where</w:t>
      </w:r>
      <w:r w:rsidRPr="0098640B">
        <w:rPr>
          <w:lang w:val="en-US"/>
        </w:rPr>
        <w:t xml:space="preserve"> AFP </w:t>
      </w:r>
      <w:r w:rsidR="002921B3">
        <w:rPr>
          <w:lang w:val="en-US"/>
        </w:rPr>
        <w:t xml:space="preserve">has </w:t>
      </w:r>
      <w:r w:rsidRPr="0098640B">
        <w:rPr>
          <w:lang w:val="en-US"/>
        </w:rPr>
        <w:t>operate</w:t>
      </w:r>
      <w:r w:rsidR="002921B3">
        <w:rPr>
          <w:lang w:val="en-US"/>
        </w:rPr>
        <w:t>d</w:t>
      </w:r>
      <w:r w:rsidRPr="0098640B">
        <w:rPr>
          <w:lang w:val="en-US"/>
        </w:rPr>
        <w:t xml:space="preserve"> feature a </w:t>
      </w:r>
      <w:r w:rsidR="00CE6A64" w:rsidRPr="0098640B">
        <w:rPr>
          <w:lang w:val="en-US"/>
        </w:rPr>
        <w:t>limited</w:t>
      </w:r>
      <w:r w:rsidRPr="0098640B">
        <w:rPr>
          <w:lang w:val="en-US"/>
        </w:rPr>
        <w:t xml:space="preserve"> number of </w:t>
      </w:r>
      <w:r w:rsidR="00AF0274">
        <w:rPr>
          <w:lang w:val="en-US"/>
        </w:rPr>
        <w:t>prominent</w:t>
      </w:r>
      <w:r w:rsidRPr="0098640B">
        <w:rPr>
          <w:lang w:val="en-US"/>
        </w:rPr>
        <w:t xml:space="preserve"> public universities</w:t>
      </w:r>
      <w:r w:rsidR="005A1C67" w:rsidRPr="0098640B">
        <w:rPr>
          <w:lang w:val="en-US"/>
        </w:rPr>
        <w:t>—</w:t>
      </w:r>
      <w:r w:rsidR="00AF0274">
        <w:rPr>
          <w:lang w:val="en-US"/>
        </w:rPr>
        <w:t>almost all of which are</w:t>
      </w:r>
      <w:r w:rsidR="005A1C67" w:rsidRPr="0098640B">
        <w:rPr>
          <w:lang w:val="en-US"/>
        </w:rPr>
        <w:t xml:space="preserve"> </w:t>
      </w:r>
      <w:r w:rsidRPr="0098640B">
        <w:rPr>
          <w:lang w:val="en-US"/>
        </w:rPr>
        <w:t>located in capital cities.</w:t>
      </w:r>
      <w:r w:rsidR="00BE495F" w:rsidRPr="0098640B">
        <w:rPr>
          <w:lang w:val="en-US"/>
        </w:rPr>
        <w:t xml:space="preserve"> </w:t>
      </w:r>
      <w:r w:rsidR="00CE6A64" w:rsidRPr="0098640B">
        <w:rPr>
          <w:lang w:val="en-US"/>
        </w:rPr>
        <w:t xml:space="preserve">For this reason, as well as the </w:t>
      </w:r>
      <w:r w:rsidR="005C05CD" w:rsidRPr="0098640B">
        <w:rPr>
          <w:lang w:val="en-US"/>
        </w:rPr>
        <w:t>more promising</w:t>
      </w:r>
      <w:r w:rsidR="00CE6A64" w:rsidRPr="0098640B">
        <w:rPr>
          <w:lang w:val="en-US"/>
        </w:rPr>
        <w:t xml:space="preserve"> ability</w:t>
      </w:r>
      <w:r w:rsidR="005930BF" w:rsidRPr="0098640B">
        <w:rPr>
          <w:lang w:val="en-US"/>
        </w:rPr>
        <w:t xml:space="preserve"> to recruit </w:t>
      </w:r>
      <w:r w:rsidR="005C05CD" w:rsidRPr="0098640B">
        <w:rPr>
          <w:lang w:val="en-US"/>
        </w:rPr>
        <w:t xml:space="preserve">talented </w:t>
      </w:r>
      <w:r w:rsidR="005930BF" w:rsidRPr="0098640B">
        <w:rPr>
          <w:lang w:val="en-US"/>
        </w:rPr>
        <w:t>Returning Scholars</w:t>
      </w:r>
      <w:r w:rsidR="005C05CD" w:rsidRPr="0098640B">
        <w:rPr>
          <w:lang w:val="en-US"/>
        </w:rPr>
        <w:t xml:space="preserve"> to intellectual </w:t>
      </w:r>
      <w:r w:rsidR="00AB5B1C" w:rsidRPr="0098640B">
        <w:rPr>
          <w:lang w:val="en-US"/>
        </w:rPr>
        <w:t xml:space="preserve">and cultural </w:t>
      </w:r>
      <w:r w:rsidR="005C05CD" w:rsidRPr="0098640B">
        <w:rPr>
          <w:lang w:val="en-US"/>
        </w:rPr>
        <w:t>hubs</w:t>
      </w:r>
      <w:r w:rsidR="005930BF" w:rsidRPr="0098640B">
        <w:rPr>
          <w:lang w:val="en-US"/>
        </w:rPr>
        <w:t xml:space="preserve">, </w:t>
      </w:r>
      <w:r w:rsidR="005C05CD" w:rsidRPr="0098640B">
        <w:rPr>
          <w:lang w:val="en-US"/>
        </w:rPr>
        <w:t>AFP has largely focused its attention on universities in capital cities.</w:t>
      </w:r>
      <w:r w:rsidR="00B82F0C" w:rsidRPr="0098640B">
        <w:rPr>
          <w:lang w:val="en-US"/>
        </w:rPr>
        <w:t xml:space="preserve"> </w:t>
      </w:r>
      <w:r w:rsidR="00AB5B1C" w:rsidRPr="0098640B">
        <w:rPr>
          <w:lang w:val="en-US"/>
        </w:rPr>
        <w:t>Nevertheless</w:t>
      </w:r>
      <w:r w:rsidR="00345E95" w:rsidRPr="0098640B">
        <w:rPr>
          <w:lang w:val="en-US"/>
        </w:rPr>
        <w:t xml:space="preserve">, financial and human resources at such universities </w:t>
      </w:r>
      <w:r w:rsidR="00AB5B1C" w:rsidRPr="0098640B">
        <w:rPr>
          <w:lang w:val="en-US"/>
        </w:rPr>
        <w:t>remain</w:t>
      </w:r>
      <w:r w:rsidR="00345E95" w:rsidRPr="0098640B">
        <w:rPr>
          <w:lang w:val="en-US"/>
        </w:rPr>
        <w:t xml:space="preserve"> scarce, </w:t>
      </w:r>
      <w:r w:rsidR="00B82F0C" w:rsidRPr="0098640B">
        <w:rPr>
          <w:lang w:val="en-US"/>
        </w:rPr>
        <w:t xml:space="preserve">and as a result </w:t>
      </w:r>
      <w:r w:rsidR="00345E95" w:rsidRPr="0098640B">
        <w:rPr>
          <w:lang w:val="en-US"/>
        </w:rPr>
        <w:t xml:space="preserve">departments </w:t>
      </w:r>
      <w:r w:rsidR="00B82F0C" w:rsidRPr="0098640B">
        <w:rPr>
          <w:lang w:val="en-US"/>
        </w:rPr>
        <w:t xml:space="preserve">remain positively interested in the support mechanisms offered by </w:t>
      </w:r>
      <w:r w:rsidR="00BF3805">
        <w:rPr>
          <w:lang w:val="en-US"/>
        </w:rPr>
        <w:t>AFP</w:t>
      </w:r>
      <w:r w:rsidR="00B82F0C" w:rsidRPr="0098640B">
        <w:rPr>
          <w:lang w:val="en-US"/>
        </w:rPr>
        <w:t>.</w:t>
      </w:r>
    </w:p>
    <w:p w:rsidR="007B3031" w:rsidRPr="0098640B" w:rsidRDefault="00345E95" w:rsidP="008F4C9E">
      <w:pPr>
        <w:spacing w:after="0" w:line="240" w:lineRule="auto"/>
        <w:jc w:val="both"/>
        <w:rPr>
          <w:lang w:val="en-US"/>
        </w:rPr>
      </w:pPr>
      <w:r w:rsidRPr="0098640B">
        <w:rPr>
          <w:lang w:val="en-US"/>
        </w:rPr>
        <w:t>One notable exception to this trend is Moscow</w:t>
      </w:r>
      <w:r w:rsidR="002B5FA4" w:rsidRPr="0098640B">
        <w:rPr>
          <w:lang w:val="en-US"/>
        </w:rPr>
        <w:t xml:space="preserve">. Despite entreaties to several universities </w:t>
      </w:r>
      <w:r w:rsidR="00657EBA">
        <w:rPr>
          <w:lang w:val="en-US"/>
        </w:rPr>
        <w:t>AFP was</w:t>
      </w:r>
      <w:r w:rsidR="002B5FA4" w:rsidRPr="0098640B">
        <w:rPr>
          <w:lang w:val="en-US"/>
        </w:rPr>
        <w:t xml:space="preserve"> turned down for the following reasons:</w:t>
      </w:r>
      <w:r w:rsidRPr="0098640B">
        <w:rPr>
          <w:lang w:val="en-US"/>
        </w:rPr>
        <w:t xml:space="preserve"> 1) AFP </w:t>
      </w:r>
      <w:r w:rsidR="00E02220">
        <w:rPr>
          <w:lang w:val="en-US"/>
        </w:rPr>
        <w:t>stipend</w:t>
      </w:r>
      <w:r w:rsidR="00047202">
        <w:rPr>
          <w:lang w:val="en-US"/>
        </w:rPr>
        <w:t>s</w:t>
      </w:r>
      <w:r w:rsidR="002B50F6">
        <w:rPr>
          <w:lang w:val="en-US"/>
        </w:rPr>
        <w:t xml:space="preserve"> </w:t>
      </w:r>
      <w:r w:rsidR="00214DA4" w:rsidRPr="0098640B">
        <w:rPr>
          <w:lang w:val="en-US"/>
        </w:rPr>
        <w:t xml:space="preserve">had to compete with already-competitive </w:t>
      </w:r>
      <w:r w:rsidR="00E07CD3">
        <w:rPr>
          <w:lang w:val="en-US"/>
        </w:rPr>
        <w:t xml:space="preserve">local sources of </w:t>
      </w:r>
      <w:r w:rsidR="00534771" w:rsidRPr="0098640B">
        <w:rPr>
          <w:lang w:val="en-US"/>
        </w:rPr>
        <w:t>remuneration,</w:t>
      </w:r>
      <w:r w:rsidR="002B50F6">
        <w:rPr>
          <w:lang w:val="en-US"/>
        </w:rPr>
        <w:t xml:space="preserve"> and</w:t>
      </w:r>
      <w:r w:rsidR="006B3CB6" w:rsidRPr="0098640B">
        <w:rPr>
          <w:lang w:val="en-US"/>
        </w:rPr>
        <w:t xml:space="preserve"> </w:t>
      </w:r>
      <w:r w:rsidRPr="0098640B">
        <w:rPr>
          <w:lang w:val="en-US"/>
        </w:rPr>
        <w:t xml:space="preserve">2) </w:t>
      </w:r>
      <w:r w:rsidR="006B3CB6" w:rsidRPr="0098640B">
        <w:rPr>
          <w:lang w:val="en-US"/>
        </w:rPr>
        <w:t xml:space="preserve">university </w:t>
      </w:r>
      <w:r w:rsidRPr="0098640B">
        <w:rPr>
          <w:lang w:val="en-US"/>
        </w:rPr>
        <w:t>administ</w:t>
      </w:r>
      <w:r w:rsidR="006B3CB6" w:rsidRPr="0098640B">
        <w:rPr>
          <w:lang w:val="en-US"/>
        </w:rPr>
        <w:t>ration was</w:t>
      </w:r>
      <w:r w:rsidRPr="0098640B">
        <w:rPr>
          <w:lang w:val="en-US"/>
        </w:rPr>
        <w:t xml:space="preserve"> interested </w:t>
      </w:r>
      <w:r w:rsidR="006B3CB6" w:rsidRPr="0098640B">
        <w:rPr>
          <w:lang w:val="en-US"/>
        </w:rPr>
        <w:t>in large institutional grants that would fund</w:t>
      </w:r>
      <w:r w:rsidR="00EE14E5" w:rsidRPr="0098640B">
        <w:rPr>
          <w:lang w:val="en-US"/>
        </w:rPr>
        <w:t>, for example,</w:t>
      </w:r>
      <w:r w:rsidR="006B3CB6" w:rsidRPr="0098640B">
        <w:rPr>
          <w:lang w:val="en-US"/>
        </w:rPr>
        <w:t xml:space="preserve"> research and conferenc</w:t>
      </w:r>
      <w:r w:rsidR="00EE14E5" w:rsidRPr="0098640B">
        <w:rPr>
          <w:lang w:val="en-US"/>
        </w:rPr>
        <w:t>ing</w:t>
      </w:r>
      <w:r w:rsidR="006B3CB6" w:rsidRPr="0098640B">
        <w:rPr>
          <w:lang w:val="en-US"/>
        </w:rPr>
        <w:t xml:space="preserve">. </w:t>
      </w:r>
      <w:r w:rsidR="00EE14E5" w:rsidRPr="0098640B">
        <w:rPr>
          <w:lang w:val="en-US"/>
        </w:rPr>
        <w:t>AFP was viewed as a minor donor</w:t>
      </w:r>
      <w:r w:rsidR="006B3CB6" w:rsidRPr="0098640B">
        <w:rPr>
          <w:lang w:val="en-US"/>
        </w:rPr>
        <w:t xml:space="preserve"> </w:t>
      </w:r>
      <w:r w:rsidR="00534771" w:rsidRPr="0098640B">
        <w:rPr>
          <w:lang w:val="en-US"/>
        </w:rPr>
        <w:t>unable to bring about</w:t>
      </w:r>
      <w:r w:rsidR="006B3CB6" w:rsidRPr="0098640B">
        <w:rPr>
          <w:lang w:val="en-US"/>
        </w:rPr>
        <w:t xml:space="preserve"> large-scale institutional development.</w:t>
      </w:r>
      <w:r w:rsidR="00EE14E5" w:rsidRPr="0098640B">
        <w:rPr>
          <w:lang w:val="en-US"/>
        </w:rPr>
        <w:t xml:space="preserve"> </w:t>
      </w:r>
      <w:r w:rsidR="00534771" w:rsidRPr="0098640B">
        <w:rPr>
          <w:lang w:val="en-US"/>
        </w:rPr>
        <w:t>R</w:t>
      </w:r>
      <w:r w:rsidR="00EE14E5" w:rsidRPr="0098640B">
        <w:rPr>
          <w:lang w:val="en-US"/>
        </w:rPr>
        <w:t>eluctance to be associated with OSF also played a role</w:t>
      </w:r>
      <w:r w:rsidR="00CA15E8" w:rsidRPr="0098640B">
        <w:rPr>
          <w:lang w:val="en-US"/>
        </w:rPr>
        <w:t>.</w:t>
      </w:r>
      <w:r w:rsidR="00201DC5" w:rsidRPr="0098640B">
        <w:rPr>
          <w:lang w:val="en-US"/>
        </w:rPr>
        <w:t xml:space="preserve"> </w:t>
      </w:r>
      <w:r w:rsidR="00EA4A27" w:rsidRPr="0098640B">
        <w:rPr>
          <w:lang w:val="en-US"/>
        </w:rPr>
        <w:t>Noteworthy is that</w:t>
      </w:r>
      <w:r w:rsidR="00201DC5" w:rsidRPr="0098640B">
        <w:rPr>
          <w:lang w:val="en-US"/>
        </w:rPr>
        <w:t xml:space="preserve"> a number of universities in Moscow </w:t>
      </w:r>
      <w:r w:rsidR="000937A5" w:rsidRPr="0098640B">
        <w:rPr>
          <w:lang w:val="en-US"/>
        </w:rPr>
        <w:t xml:space="preserve">(such as Moscow State University, which we considered for cooperation) </w:t>
      </w:r>
      <w:r w:rsidR="00201DC5" w:rsidRPr="0098640B">
        <w:rPr>
          <w:lang w:val="en-US"/>
        </w:rPr>
        <w:t xml:space="preserve">are already </w:t>
      </w:r>
      <w:r w:rsidR="00EA4A27" w:rsidRPr="0098640B">
        <w:rPr>
          <w:lang w:val="en-US"/>
        </w:rPr>
        <w:t>fairly</w:t>
      </w:r>
      <w:r w:rsidR="00201DC5" w:rsidRPr="0098640B">
        <w:rPr>
          <w:lang w:val="en-US"/>
        </w:rPr>
        <w:t xml:space="preserve"> developed and are </w:t>
      </w:r>
      <w:r w:rsidR="00335968" w:rsidRPr="0098640B">
        <w:rPr>
          <w:lang w:val="en-US"/>
        </w:rPr>
        <w:t>starting</w:t>
      </w:r>
      <w:r w:rsidR="00201DC5" w:rsidRPr="0098640B">
        <w:rPr>
          <w:lang w:val="en-US"/>
        </w:rPr>
        <w:t xml:space="preserve"> to attract and employ </w:t>
      </w:r>
      <w:r w:rsidR="00335968" w:rsidRPr="0098640B">
        <w:rPr>
          <w:lang w:val="en-US"/>
        </w:rPr>
        <w:t xml:space="preserve">scholars with international </w:t>
      </w:r>
      <w:r w:rsidR="000937A5" w:rsidRPr="0098640B">
        <w:rPr>
          <w:lang w:val="en-US"/>
        </w:rPr>
        <w:t xml:space="preserve">MA and PhD </w:t>
      </w:r>
      <w:r w:rsidR="00335968" w:rsidRPr="0098640B">
        <w:rPr>
          <w:lang w:val="en-US"/>
        </w:rPr>
        <w:t>degrees from reputable institutions</w:t>
      </w:r>
      <w:r w:rsidR="000937A5" w:rsidRPr="0098640B">
        <w:rPr>
          <w:lang w:val="en-US"/>
        </w:rPr>
        <w:t xml:space="preserve">. </w:t>
      </w:r>
    </w:p>
    <w:p w:rsidR="009F23AD" w:rsidRPr="00E8190F" w:rsidRDefault="00E8190F" w:rsidP="00441866">
      <w:pPr>
        <w:pStyle w:val="Heading1"/>
        <w:rPr>
          <w:sz w:val="32"/>
          <w:szCs w:val="32"/>
          <w:lang w:val="en-US"/>
        </w:rPr>
      </w:pPr>
      <w:r w:rsidRPr="00E8190F">
        <w:rPr>
          <w:sz w:val="32"/>
          <w:szCs w:val="32"/>
          <w:lang w:val="en-US"/>
        </w:rPr>
        <w:t>Lessons Learned</w:t>
      </w:r>
    </w:p>
    <w:p w:rsidR="00624666" w:rsidRDefault="007D6190" w:rsidP="007855C9">
      <w:pPr>
        <w:tabs>
          <w:tab w:val="left" w:pos="4860"/>
        </w:tabs>
        <w:spacing w:line="240" w:lineRule="auto"/>
        <w:jc w:val="both"/>
        <w:rPr>
          <w:lang w:val="en-US"/>
        </w:rPr>
      </w:pPr>
      <w:r>
        <w:rPr>
          <w:lang w:val="en-US"/>
        </w:rPr>
        <w:t>AFP staff has identified a r</w:t>
      </w:r>
      <w:r w:rsidR="00C21F66">
        <w:rPr>
          <w:lang w:val="en-US"/>
        </w:rPr>
        <w:t>aft of lessons learned and programmatic</w:t>
      </w:r>
      <w:r w:rsidR="00E4538C" w:rsidRPr="00522B73">
        <w:rPr>
          <w:lang w:val="en-US"/>
        </w:rPr>
        <w:t xml:space="preserve"> recommendations</w:t>
      </w:r>
      <w:r>
        <w:rPr>
          <w:lang w:val="en-US"/>
        </w:rPr>
        <w:t xml:space="preserve"> based on </w:t>
      </w:r>
      <w:r w:rsidR="00DD3532">
        <w:rPr>
          <w:lang w:val="en-US"/>
        </w:rPr>
        <w:t>its operational</w:t>
      </w:r>
      <w:r>
        <w:rPr>
          <w:lang w:val="en-US"/>
        </w:rPr>
        <w:t xml:space="preserve"> experience.</w:t>
      </w:r>
      <w:r w:rsidR="001A080F">
        <w:rPr>
          <w:lang w:val="en-US"/>
        </w:rPr>
        <w:t xml:space="preserve"> These would be of particular importance in informing any similar work HESP might </w:t>
      </w:r>
      <w:r w:rsidR="00E3310A">
        <w:rPr>
          <w:lang w:val="en-US"/>
        </w:rPr>
        <w:t>engage with</w:t>
      </w:r>
      <w:r w:rsidR="001A080F">
        <w:rPr>
          <w:lang w:val="en-US"/>
        </w:rPr>
        <w:t xml:space="preserve">. Indeed, </w:t>
      </w:r>
      <w:r w:rsidR="00DD3532">
        <w:rPr>
          <w:lang w:val="en-US"/>
        </w:rPr>
        <w:t>much of the below thinking has already started to be infused into HESP’s work in Palestine</w:t>
      </w:r>
      <w:r w:rsidR="00990E3B">
        <w:rPr>
          <w:rStyle w:val="FootnoteReference"/>
          <w:lang w:val="en-US"/>
        </w:rPr>
        <w:footnoteReference w:id="6"/>
      </w:r>
      <w:r w:rsidR="00DD3532">
        <w:rPr>
          <w:lang w:val="en-US"/>
        </w:rPr>
        <w:t>.</w:t>
      </w:r>
      <w:r w:rsidR="001A080F">
        <w:rPr>
          <w:lang w:val="en-US"/>
        </w:rPr>
        <w:t xml:space="preserve"> </w:t>
      </w:r>
      <w:r w:rsidR="002E7387">
        <w:rPr>
          <w:lang w:val="en-US"/>
        </w:rPr>
        <w:t xml:space="preserve">The analysis and recommendations are broken down into two </w:t>
      </w:r>
      <w:r w:rsidR="00E70E21">
        <w:rPr>
          <w:lang w:val="en-US"/>
        </w:rPr>
        <w:t>‘chapters’</w:t>
      </w:r>
      <w:r w:rsidR="00E3310A">
        <w:rPr>
          <w:lang w:val="en-US"/>
        </w:rPr>
        <w:t xml:space="preserve">. The first looks at AFP </w:t>
      </w:r>
      <w:r w:rsidR="00E70E21">
        <w:rPr>
          <w:lang w:val="en-US"/>
        </w:rPr>
        <w:t>more broadly</w:t>
      </w:r>
      <w:r w:rsidR="00475E17">
        <w:rPr>
          <w:lang w:val="en-US"/>
        </w:rPr>
        <w:t xml:space="preserve">; the second </w:t>
      </w:r>
      <w:r w:rsidR="00CD779E">
        <w:rPr>
          <w:lang w:val="en-US"/>
        </w:rPr>
        <w:t>drills deeper into</w:t>
      </w:r>
      <w:r w:rsidR="00E70E21">
        <w:rPr>
          <w:lang w:val="en-US"/>
        </w:rPr>
        <w:t xml:space="preserve"> AFP’s</w:t>
      </w:r>
      <w:r w:rsidR="00CD779E">
        <w:rPr>
          <w:lang w:val="en-US"/>
        </w:rPr>
        <w:t xml:space="preserve"> two main instruments: Returning and International Scholars.</w:t>
      </w:r>
      <w:r w:rsidR="00E70E21">
        <w:rPr>
          <w:lang w:val="en-US"/>
        </w:rPr>
        <w:t xml:space="preserve"> </w:t>
      </w:r>
    </w:p>
    <w:p w:rsidR="00741E86" w:rsidRPr="00A32781" w:rsidRDefault="00B81AF0" w:rsidP="007855C9">
      <w:pPr>
        <w:pStyle w:val="Heading3"/>
        <w:spacing w:before="0" w:after="200" w:line="240" w:lineRule="auto"/>
        <w:jc w:val="both"/>
        <w:rPr>
          <w:sz w:val="24"/>
          <w:szCs w:val="24"/>
          <w:lang w:val="en-US"/>
        </w:rPr>
      </w:pPr>
      <w:r w:rsidRPr="00A32781">
        <w:rPr>
          <w:sz w:val="24"/>
          <w:szCs w:val="24"/>
          <w:lang w:val="en-US"/>
        </w:rPr>
        <w:t>Lessons learned</w:t>
      </w:r>
      <w:r w:rsidR="00741E86" w:rsidRPr="00A32781">
        <w:rPr>
          <w:sz w:val="24"/>
          <w:szCs w:val="24"/>
          <w:lang w:val="en-US"/>
        </w:rPr>
        <w:t xml:space="preserve"> </w:t>
      </w:r>
      <w:r w:rsidR="002A557C" w:rsidRPr="00A32781">
        <w:rPr>
          <w:sz w:val="24"/>
          <w:szCs w:val="24"/>
          <w:lang w:val="en-US"/>
        </w:rPr>
        <w:t>regarding</w:t>
      </w:r>
      <w:r w:rsidR="00741E86" w:rsidRPr="00A32781">
        <w:rPr>
          <w:sz w:val="24"/>
          <w:szCs w:val="24"/>
          <w:lang w:val="en-US"/>
        </w:rPr>
        <w:t xml:space="preserve"> </w:t>
      </w:r>
      <w:r w:rsidRPr="00A32781">
        <w:rPr>
          <w:sz w:val="24"/>
          <w:szCs w:val="24"/>
          <w:lang w:val="en-US"/>
        </w:rPr>
        <w:t>AFP’s o</w:t>
      </w:r>
      <w:r w:rsidR="00741E86" w:rsidRPr="00A32781">
        <w:rPr>
          <w:sz w:val="24"/>
          <w:szCs w:val="24"/>
          <w:lang w:val="en-US"/>
        </w:rPr>
        <w:t xml:space="preserve">verall </w:t>
      </w:r>
      <w:r w:rsidR="002A557C" w:rsidRPr="00A32781">
        <w:rPr>
          <w:sz w:val="24"/>
          <w:szCs w:val="24"/>
          <w:lang w:val="en-US"/>
        </w:rPr>
        <w:t>a</w:t>
      </w:r>
      <w:r w:rsidR="00741E86" w:rsidRPr="00A32781">
        <w:rPr>
          <w:sz w:val="24"/>
          <w:szCs w:val="24"/>
          <w:lang w:val="en-US"/>
        </w:rPr>
        <w:t>pproach</w:t>
      </w:r>
    </w:p>
    <w:p w:rsidR="00621B8B" w:rsidRPr="002B50F6" w:rsidRDefault="00621B8B" w:rsidP="00ED7A29">
      <w:pPr>
        <w:tabs>
          <w:tab w:val="left" w:pos="270"/>
          <w:tab w:val="left" w:pos="4860"/>
        </w:tabs>
        <w:spacing w:line="240" w:lineRule="auto"/>
        <w:jc w:val="both"/>
        <w:rPr>
          <w:lang w:val="en-US"/>
        </w:rPr>
      </w:pPr>
      <w:r w:rsidRPr="00621B8B">
        <w:rPr>
          <w:b/>
          <w:lang w:val="en-US"/>
        </w:rPr>
        <w:t xml:space="preserve">Flexible country strategies and out-of-the box thinking were needed when determining if or how to work in various country contexts. </w:t>
      </w:r>
      <w:r w:rsidRPr="00621B8B">
        <w:rPr>
          <w:lang w:val="en-US"/>
        </w:rPr>
        <w:t>For instance, a thorough country assessment of Russia may have yielded a suggestion to avoid working with traditional Returning Scholars who, because of their Western exposure, may have been stymied by the Russian authorities from this type of engagement. Instead, perhaps, it could have made sense to identify locally educated and talented scholars who share OSF’s values and engage with them. Likewise, in countries like Albania, Kosovo</w:t>
      </w:r>
      <w:r w:rsidR="00DD2EB9">
        <w:rPr>
          <w:lang w:val="en-US"/>
        </w:rPr>
        <w:t>,</w:t>
      </w:r>
      <w:r w:rsidRPr="00621B8B">
        <w:rPr>
          <w:lang w:val="en-US"/>
        </w:rPr>
        <w:t xml:space="preserve"> Macedonia</w:t>
      </w:r>
      <w:r w:rsidR="00DD2EB9">
        <w:rPr>
          <w:lang w:val="en-US"/>
        </w:rPr>
        <w:t>, Ukraine and Moldova</w:t>
      </w:r>
      <w:r w:rsidRPr="00621B8B">
        <w:rPr>
          <w:lang w:val="en-US"/>
        </w:rPr>
        <w:t xml:space="preserve"> a serious assessment of the pros and cons of partnering with private universities would have been merited. Instead, AFP’s toolkit was deployed too rigidly, resulting in one set of approaches for fairly different contexts. More recently, in Palestine both the Returning and International Scholar schemes were highly valued by our interlocutors, however they expressed a need (underscored by local context) for a component within the Returning Scholars scheme to target more focused research in a way that the Professional Development Fund has</w:t>
      </w:r>
      <w:r w:rsidR="00DD2EB9">
        <w:rPr>
          <w:lang w:val="en-US"/>
        </w:rPr>
        <w:t xml:space="preserve"> not</w:t>
      </w:r>
      <w:r w:rsidRPr="00621B8B">
        <w:rPr>
          <w:lang w:val="en-US"/>
        </w:rPr>
        <w:t xml:space="preserve"> been able to accommodate. </w:t>
      </w:r>
    </w:p>
    <w:p w:rsidR="008B64A2" w:rsidRPr="00621B8B" w:rsidRDefault="00696E64" w:rsidP="00DE6007">
      <w:pPr>
        <w:shd w:val="clear" w:color="auto" w:fill="FFFFFF"/>
        <w:spacing w:line="240" w:lineRule="auto"/>
        <w:jc w:val="both"/>
        <w:rPr>
          <w:rFonts w:eastAsia="Times New Roman"/>
          <w:color w:val="222222"/>
          <w:lang w:val="en-US"/>
        </w:rPr>
      </w:pPr>
      <w:r w:rsidRPr="00621B8B">
        <w:rPr>
          <w:b/>
          <w:lang w:val="en-US"/>
        </w:rPr>
        <w:t xml:space="preserve">A </w:t>
      </w:r>
      <w:r w:rsidR="000525DA" w:rsidRPr="00621B8B">
        <w:rPr>
          <w:b/>
          <w:lang w:val="en-US"/>
        </w:rPr>
        <w:t xml:space="preserve">different </w:t>
      </w:r>
      <w:r w:rsidR="00A05DC7" w:rsidRPr="00621B8B">
        <w:rPr>
          <w:b/>
          <w:lang w:val="en-US"/>
        </w:rPr>
        <w:t>approach</w:t>
      </w:r>
      <w:r w:rsidRPr="00621B8B">
        <w:rPr>
          <w:b/>
          <w:lang w:val="en-US"/>
        </w:rPr>
        <w:t xml:space="preserve"> was needed to </w:t>
      </w:r>
      <w:r w:rsidR="007646A8" w:rsidRPr="00621B8B">
        <w:rPr>
          <w:b/>
          <w:lang w:val="en-US"/>
        </w:rPr>
        <w:t>conceptualize</w:t>
      </w:r>
      <w:r w:rsidRPr="00621B8B">
        <w:rPr>
          <w:b/>
          <w:lang w:val="en-US"/>
        </w:rPr>
        <w:t xml:space="preserve"> </w:t>
      </w:r>
      <w:r w:rsidR="000525DA" w:rsidRPr="00621B8B">
        <w:rPr>
          <w:b/>
          <w:lang w:val="en-US"/>
        </w:rPr>
        <w:t>progress and measure impact</w:t>
      </w:r>
      <w:r w:rsidR="001C15CD">
        <w:rPr>
          <w:lang w:val="en-US"/>
        </w:rPr>
        <w:t xml:space="preserve"> —</w:t>
      </w:r>
      <w:r w:rsidR="001C15CD">
        <w:rPr>
          <w:b/>
          <w:lang w:val="en-US"/>
        </w:rPr>
        <w:t xml:space="preserve"> t</w:t>
      </w:r>
      <w:r w:rsidR="00A05DC7" w:rsidRPr="00621B8B">
        <w:rPr>
          <w:b/>
          <w:lang w:val="en-US"/>
        </w:rPr>
        <w:t>he results of which could have better informed</w:t>
      </w:r>
      <w:r w:rsidR="00E664D8" w:rsidRPr="00621B8B">
        <w:rPr>
          <w:b/>
          <w:lang w:val="en-US"/>
        </w:rPr>
        <w:t xml:space="preserve"> and guided</w:t>
      </w:r>
      <w:r w:rsidR="00A05DC7" w:rsidRPr="00621B8B">
        <w:rPr>
          <w:b/>
          <w:lang w:val="en-US"/>
        </w:rPr>
        <w:t xml:space="preserve"> AFP programming throughout.</w:t>
      </w:r>
      <w:r w:rsidR="000525DA" w:rsidRPr="00621B8B">
        <w:rPr>
          <w:b/>
          <w:lang w:val="en-US"/>
        </w:rPr>
        <w:t xml:space="preserve"> </w:t>
      </w:r>
      <w:r w:rsidR="00B203E0" w:rsidRPr="00621B8B">
        <w:rPr>
          <w:lang w:val="en-US"/>
        </w:rPr>
        <w:t>This takes us back to A</w:t>
      </w:r>
      <w:r w:rsidR="00EA36F2" w:rsidRPr="00621B8B">
        <w:rPr>
          <w:lang w:val="en-US"/>
        </w:rPr>
        <w:t xml:space="preserve">FP’s theory of change, i.e. </w:t>
      </w:r>
      <w:r w:rsidR="00B203E0" w:rsidRPr="00621B8B">
        <w:rPr>
          <w:lang w:val="en-US"/>
        </w:rPr>
        <w:t xml:space="preserve">that </w:t>
      </w:r>
      <w:r w:rsidR="005D2CFC" w:rsidRPr="00621B8B">
        <w:rPr>
          <w:lang w:val="en-US"/>
        </w:rPr>
        <w:t xml:space="preserve">exposure to Western academia would translate into more </w:t>
      </w:r>
      <w:r w:rsidR="00FD0A92" w:rsidRPr="00621B8B">
        <w:rPr>
          <w:lang w:val="en-US"/>
        </w:rPr>
        <w:t xml:space="preserve">and better </w:t>
      </w:r>
      <w:r w:rsidR="005D2CFC" w:rsidRPr="00621B8B">
        <w:rPr>
          <w:lang w:val="en-US"/>
        </w:rPr>
        <w:t>critical thinking</w:t>
      </w:r>
      <w:r w:rsidR="00FD0A92" w:rsidRPr="00621B8B">
        <w:rPr>
          <w:lang w:val="en-US"/>
        </w:rPr>
        <w:t xml:space="preserve"> in </w:t>
      </w:r>
      <w:r w:rsidR="002D4E78" w:rsidRPr="00621B8B">
        <w:rPr>
          <w:lang w:val="en-US"/>
        </w:rPr>
        <w:t>transition countries</w:t>
      </w:r>
      <w:r w:rsidR="008B64A2" w:rsidRPr="00621B8B">
        <w:rPr>
          <w:lang w:val="en-US"/>
        </w:rPr>
        <w:t xml:space="preserve"> – </w:t>
      </w:r>
      <w:r w:rsidR="00245FF0" w:rsidRPr="00621B8B">
        <w:rPr>
          <w:lang w:val="en-US"/>
        </w:rPr>
        <w:t>which</w:t>
      </w:r>
      <w:r w:rsidR="008B64A2" w:rsidRPr="00621B8B">
        <w:rPr>
          <w:lang w:val="en-US"/>
        </w:rPr>
        <w:t xml:space="preserve"> would be accomplished through the </w:t>
      </w:r>
      <w:r w:rsidR="00245FF0" w:rsidRPr="00621B8B">
        <w:rPr>
          <w:lang w:val="en-US"/>
        </w:rPr>
        <w:t xml:space="preserve">deployment of Returning </w:t>
      </w:r>
      <w:r w:rsidR="00E664D8" w:rsidRPr="00621B8B">
        <w:rPr>
          <w:lang w:val="en-US"/>
        </w:rPr>
        <w:t xml:space="preserve">and International </w:t>
      </w:r>
      <w:r w:rsidR="00245FF0" w:rsidRPr="00621B8B">
        <w:rPr>
          <w:lang w:val="en-US"/>
        </w:rPr>
        <w:t xml:space="preserve">Scholars </w:t>
      </w:r>
      <w:r w:rsidR="00E33E5C" w:rsidRPr="00621B8B">
        <w:rPr>
          <w:lang w:val="en-US"/>
        </w:rPr>
        <w:t xml:space="preserve">who would directly influence </w:t>
      </w:r>
      <w:r w:rsidR="008B64A2" w:rsidRPr="00621B8B">
        <w:rPr>
          <w:lang w:val="en-US"/>
        </w:rPr>
        <w:t xml:space="preserve">university departments </w:t>
      </w:r>
      <w:r w:rsidR="00E33E5C" w:rsidRPr="00621B8B">
        <w:rPr>
          <w:lang w:val="en-US"/>
        </w:rPr>
        <w:t>and inspire a spillover effect in other departments.</w:t>
      </w:r>
    </w:p>
    <w:p w:rsidR="00A508F1" w:rsidRDefault="002D4E78" w:rsidP="00DE6007">
      <w:pPr>
        <w:shd w:val="clear" w:color="auto" w:fill="FFFFFF"/>
        <w:spacing w:line="240" w:lineRule="auto"/>
        <w:jc w:val="both"/>
        <w:rPr>
          <w:lang w:val="en-US"/>
        </w:rPr>
      </w:pPr>
      <w:r w:rsidRPr="008B64A2">
        <w:rPr>
          <w:lang w:val="en-US"/>
        </w:rPr>
        <w:t xml:space="preserve">While measuring the level of critical thinking in a country may prove too abstract, there were intermediate metrics that should have been assessed but were not. </w:t>
      </w:r>
      <w:r w:rsidR="0069271B" w:rsidRPr="008B64A2">
        <w:rPr>
          <w:lang w:val="en-US"/>
        </w:rPr>
        <w:t xml:space="preserve">AFP measured outputs, not outcomes. Meaning, it </w:t>
      </w:r>
      <w:r w:rsidR="00A05DC7" w:rsidRPr="008B64A2">
        <w:rPr>
          <w:lang w:val="en-US"/>
        </w:rPr>
        <w:t xml:space="preserve">primarily </w:t>
      </w:r>
      <w:r w:rsidR="0069271B" w:rsidRPr="008B64A2">
        <w:rPr>
          <w:lang w:val="en-US"/>
        </w:rPr>
        <w:t>measured the number of Returning and International Scholars deployed</w:t>
      </w:r>
      <w:r w:rsidR="00146A6D">
        <w:rPr>
          <w:lang w:val="en-US"/>
        </w:rPr>
        <w:t xml:space="preserve"> and</w:t>
      </w:r>
      <w:r w:rsidR="0069271B" w:rsidRPr="008B64A2">
        <w:rPr>
          <w:lang w:val="en-US"/>
        </w:rPr>
        <w:t xml:space="preserve"> the numbers of courses started or reformed. </w:t>
      </w:r>
      <w:r w:rsidR="00146A6D">
        <w:rPr>
          <w:lang w:val="en-US"/>
        </w:rPr>
        <w:t>There were instances, as highlighted in this paper, where the spillover effect to other departments took place, and those were also noted.</w:t>
      </w:r>
      <w:r w:rsidR="00C51FF5">
        <w:rPr>
          <w:lang w:val="en-US"/>
        </w:rPr>
        <w:t xml:space="preserve"> </w:t>
      </w:r>
    </w:p>
    <w:p w:rsidR="0094688A" w:rsidRDefault="0094688A" w:rsidP="00DE6007">
      <w:pPr>
        <w:shd w:val="clear" w:color="auto" w:fill="FFFFFF"/>
        <w:spacing w:line="240" w:lineRule="auto"/>
        <w:jc w:val="both"/>
        <w:rPr>
          <w:rFonts w:eastAsia="Times New Roman"/>
          <w:color w:val="222222"/>
          <w:lang w:val="en-US"/>
        </w:rPr>
      </w:pPr>
      <w:r>
        <w:rPr>
          <w:lang w:val="en-US"/>
        </w:rPr>
        <w:t xml:space="preserve">To be sure, </w:t>
      </w:r>
      <w:r w:rsidR="00421F7C">
        <w:rPr>
          <w:lang w:val="en-US"/>
        </w:rPr>
        <w:t xml:space="preserve">in many places </w:t>
      </w:r>
      <w:r w:rsidR="00C51FF5">
        <w:rPr>
          <w:lang w:val="en-US"/>
        </w:rPr>
        <w:t xml:space="preserve">AFP </w:t>
      </w:r>
      <w:r w:rsidR="00C51FF5" w:rsidRPr="00626B2E">
        <w:rPr>
          <w:rFonts w:eastAsia="Times New Roman"/>
          <w:color w:val="222222"/>
          <w:lang w:val="en-US"/>
        </w:rPr>
        <w:t>establish</w:t>
      </w:r>
      <w:r w:rsidR="00C51FF5">
        <w:rPr>
          <w:rFonts w:eastAsia="Times New Roman"/>
          <w:color w:val="222222"/>
          <w:lang w:val="en-US"/>
        </w:rPr>
        <w:t>ed</w:t>
      </w:r>
      <w:r w:rsidR="00C51FF5" w:rsidRPr="00626B2E">
        <w:rPr>
          <w:rFonts w:eastAsia="Times New Roman"/>
          <w:color w:val="222222"/>
          <w:lang w:val="en-US"/>
        </w:rPr>
        <w:t xml:space="preserve"> a cadre of excellent </w:t>
      </w:r>
      <w:r w:rsidR="00C51FF5">
        <w:rPr>
          <w:rFonts w:eastAsia="Times New Roman"/>
          <w:color w:val="222222"/>
          <w:lang w:val="en-US"/>
        </w:rPr>
        <w:t xml:space="preserve">Returning and International Scholars </w:t>
      </w:r>
      <w:r w:rsidR="00A55D24">
        <w:rPr>
          <w:rFonts w:eastAsia="Times New Roman"/>
          <w:color w:val="222222"/>
          <w:lang w:val="en-US"/>
        </w:rPr>
        <w:t xml:space="preserve">who brought new forms of academic intrepidness and </w:t>
      </w:r>
      <w:r w:rsidR="00C51FF5" w:rsidRPr="00626B2E">
        <w:rPr>
          <w:rFonts w:eastAsia="Times New Roman"/>
          <w:color w:val="222222"/>
          <w:lang w:val="en-US"/>
        </w:rPr>
        <w:t>rigor</w:t>
      </w:r>
      <w:r w:rsidR="00A55D24">
        <w:rPr>
          <w:rFonts w:eastAsia="Times New Roman"/>
          <w:color w:val="222222"/>
          <w:lang w:val="en-US"/>
        </w:rPr>
        <w:t xml:space="preserve"> to institutions of </w:t>
      </w:r>
      <w:r w:rsidR="00A508F1">
        <w:rPr>
          <w:rFonts w:eastAsia="Times New Roman"/>
          <w:color w:val="222222"/>
          <w:lang w:val="en-US"/>
        </w:rPr>
        <w:t>higher</w:t>
      </w:r>
      <w:r w:rsidR="00A55D24">
        <w:rPr>
          <w:rFonts w:eastAsia="Times New Roman"/>
          <w:color w:val="222222"/>
          <w:lang w:val="en-US"/>
        </w:rPr>
        <w:t xml:space="preserve"> learning</w:t>
      </w:r>
      <w:r w:rsidR="00A508F1">
        <w:rPr>
          <w:rFonts w:eastAsia="Times New Roman"/>
          <w:color w:val="222222"/>
          <w:lang w:val="en-US"/>
        </w:rPr>
        <w:t xml:space="preserve"> across the region</w:t>
      </w:r>
      <w:r w:rsidR="00C51FF5" w:rsidRPr="00626B2E">
        <w:rPr>
          <w:rFonts w:eastAsia="Times New Roman"/>
          <w:color w:val="222222"/>
          <w:lang w:val="en-US"/>
        </w:rPr>
        <w:t>.</w:t>
      </w:r>
      <w:r w:rsidR="00A508F1">
        <w:rPr>
          <w:rFonts w:eastAsia="Times New Roman"/>
          <w:color w:val="222222"/>
          <w:lang w:val="en-US"/>
        </w:rPr>
        <w:t xml:space="preserve"> </w:t>
      </w:r>
    </w:p>
    <w:p w:rsidR="003D2F0D" w:rsidRDefault="00B72D5B" w:rsidP="00DE6007">
      <w:pPr>
        <w:shd w:val="clear" w:color="auto" w:fill="FFFFFF"/>
        <w:spacing w:line="240" w:lineRule="auto"/>
        <w:jc w:val="both"/>
        <w:rPr>
          <w:rFonts w:eastAsia="Times New Roman"/>
          <w:color w:val="222222"/>
          <w:lang w:val="en-US"/>
        </w:rPr>
      </w:pPr>
      <w:r>
        <w:rPr>
          <w:lang w:val="en-US"/>
        </w:rPr>
        <w:t xml:space="preserve">Missing, however, was a </w:t>
      </w:r>
      <w:r w:rsidR="005E75E4">
        <w:rPr>
          <w:lang w:val="en-US"/>
        </w:rPr>
        <w:t xml:space="preserve">concerted effort to examine </w:t>
      </w:r>
      <w:r w:rsidR="0094688A">
        <w:rPr>
          <w:lang w:val="en-US"/>
        </w:rPr>
        <w:t>certain</w:t>
      </w:r>
      <w:r>
        <w:rPr>
          <w:lang w:val="en-US"/>
        </w:rPr>
        <w:t xml:space="preserve"> </w:t>
      </w:r>
      <w:r w:rsidR="00626B2E">
        <w:rPr>
          <w:lang w:val="en-US"/>
        </w:rPr>
        <w:t xml:space="preserve">end results. </w:t>
      </w:r>
      <w:r w:rsidR="00A508F1">
        <w:rPr>
          <w:lang w:val="en-US"/>
        </w:rPr>
        <w:t xml:space="preserve">For instance, </w:t>
      </w:r>
      <w:r w:rsidR="00626B2E">
        <w:rPr>
          <w:lang w:val="en-US"/>
        </w:rPr>
        <w:t>AFP did not</w:t>
      </w:r>
      <w:r w:rsidR="00A508F1">
        <w:rPr>
          <w:lang w:val="en-US"/>
        </w:rPr>
        <w:t xml:space="preserve"> </w:t>
      </w:r>
      <w:r w:rsidR="005E75E4">
        <w:rPr>
          <w:lang w:val="en-US"/>
        </w:rPr>
        <w:t>systematically</w:t>
      </w:r>
      <w:r w:rsidR="00626B2E">
        <w:rPr>
          <w:lang w:val="en-US"/>
        </w:rPr>
        <w:t xml:space="preserve"> </w:t>
      </w:r>
      <w:r w:rsidR="003D2F0D">
        <w:rPr>
          <w:lang w:val="en-US"/>
        </w:rPr>
        <w:t xml:space="preserve">and independently </w:t>
      </w:r>
      <w:r w:rsidR="00626B2E">
        <w:rPr>
          <w:lang w:val="en-US"/>
        </w:rPr>
        <w:t xml:space="preserve">check the </w:t>
      </w:r>
      <w:r w:rsidR="000525DA" w:rsidRPr="00626B2E">
        <w:rPr>
          <w:rFonts w:eastAsia="Times New Roman"/>
          <w:color w:val="222222"/>
          <w:lang w:val="en-US"/>
        </w:rPr>
        <w:t>numbers of students</w:t>
      </w:r>
      <w:r w:rsidR="00626B2E">
        <w:rPr>
          <w:rFonts w:eastAsia="Times New Roman"/>
          <w:color w:val="222222"/>
          <w:lang w:val="en-US"/>
        </w:rPr>
        <w:t xml:space="preserve"> benefiting</w:t>
      </w:r>
      <w:r w:rsidR="00AF26AD">
        <w:rPr>
          <w:rFonts w:eastAsia="Times New Roman"/>
          <w:color w:val="222222"/>
          <w:lang w:val="en-US"/>
        </w:rPr>
        <w:t xml:space="preserve"> from the courses. It did not solicit qualitative </w:t>
      </w:r>
      <w:r w:rsidR="000525DA" w:rsidRPr="00626B2E">
        <w:rPr>
          <w:rFonts w:eastAsia="Times New Roman"/>
          <w:color w:val="222222"/>
          <w:lang w:val="en-US"/>
        </w:rPr>
        <w:t xml:space="preserve">feedback from </w:t>
      </w:r>
      <w:r w:rsidR="00DD2EB9">
        <w:rPr>
          <w:rFonts w:eastAsia="Times New Roman"/>
          <w:color w:val="222222"/>
          <w:lang w:val="en-US"/>
        </w:rPr>
        <w:t>students</w:t>
      </w:r>
      <w:r w:rsidR="00651183">
        <w:rPr>
          <w:rFonts w:eastAsia="Times New Roman"/>
          <w:color w:val="222222"/>
          <w:lang w:val="en-US"/>
        </w:rPr>
        <w:t xml:space="preserve"> – ultimate beneficiaries of our support</w:t>
      </w:r>
      <w:r w:rsidR="00AF26AD">
        <w:rPr>
          <w:rFonts w:eastAsia="Times New Roman"/>
          <w:color w:val="222222"/>
          <w:lang w:val="en-US"/>
        </w:rPr>
        <w:t>, no</w:t>
      </w:r>
      <w:r w:rsidR="001933FC">
        <w:rPr>
          <w:rFonts w:eastAsia="Times New Roman"/>
          <w:color w:val="222222"/>
          <w:lang w:val="en-US"/>
        </w:rPr>
        <w:t xml:space="preserve">r did it explore the </w:t>
      </w:r>
      <w:r w:rsidR="000525DA" w:rsidRPr="00626B2E">
        <w:rPr>
          <w:rFonts w:eastAsia="Times New Roman"/>
          <w:color w:val="222222"/>
          <w:lang w:val="en-US"/>
        </w:rPr>
        <w:t>causality links</w:t>
      </w:r>
      <w:r w:rsidR="001933FC">
        <w:rPr>
          <w:rFonts w:eastAsia="Times New Roman"/>
          <w:color w:val="222222"/>
          <w:lang w:val="en-US"/>
        </w:rPr>
        <w:t xml:space="preserve"> between</w:t>
      </w:r>
      <w:r w:rsidR="005E75E4">
        <w:rPr>
          <w:rFonts w:eastAsia="Times New Roman"/>
          <w:color w:val="222222"/>
          <w:lang w:val="en-US"/>
        </w:rPr>
        <w:t xml:space="preserve"> its efforts and </w:t>
      </w:r>
      <w:r w:rsidR="0094688A">
        <w:rPr>
          <w:rFonts w:eastAsia="Times New Roman"/>
          <w:color w:val="222222"/>
          <w:lang w:val="en-US"/>
        </w:rPr>
        <w:t xml:space="preserve">the </w:t>
      </w:r>
      <w:r w:rsidR="005E75E4">
        <w:rPr>
          <w:rFonts w:eastAsia="Times New Roman"/>
          <w:color w:val="222222"/>
          <w:lang w:val="en-US"/>
        </w:rPr>
        <w:t>ultimate changes at department</w:t>
      </w:r>
      <w:r w:rsidR="0094688A">
        <w:rPr>
          <w:rFonts w:eastAsia="Times New Roman"/>
          <w:color w:val="222222"/>
          <w:lang w:val="en-US"/>
        </w:rPr>
        <w:t>al</w:t>
      </w:r>
      <w:r w:rsidR="005E75E4">
        <w:rPr>
          <w:rFonts w:eastAsia="Times New Roman"/>
          <w:color w:val="222222"/>
          <w:lang w:val="en-US"/>
        </w:rPr>
        <w:t xml:space="preserve">/university or societal levels. </w:t>
      </w:r>
      <w:r w:rsidR="0050322E">
        <w:rPr>
          <w:rFonts w:eastAsia="Times New Roman"/>
          <w:color w:val="222222"/>
          <w:lang w:val="en-US"/>
        </w:rPr>
        <w:t>Put bluntly, the theory of change was never sufficiently verified, since only a portion of it (deploying scholars to universities</w:t>
      </w:r>
      <w:r w:rsidR="004B3E23">
        <w:rPr>
          <w:rFonts w:eastAsia="Times New Roman"/>
          <w:color w:val="222222"/>
          <w:lang w:val="en-US"/>
        </w:rPr>
        <w:t xml:space="preserve"> and periodic quality checks by International Scholars</w:t>
      </w:r>
      <w:r w:rsidR="0050322E">
        <w:rPr>
          <w:rFonts w:eastAsia="Times New Roman"/>
          <w:color w:val="222222"/>
          <w:lang w:val="en-US"/>
        </w:rPr>
        <w:t>) was measured.</w:t>
      </w:r>
      <w:r w:rsidR="000525DA" w:rsidRPr="00626B2E">
        <w:rPr>
          <w:rFonts w:eastAsia="Times New Roman"/>
          <w:color w:val="222222"/>
          <w:lang w:val="en-US"/>
        </w:rPr>
        <w:t xml:space="preserve"> </w:t>
      </w:r>
    </w:p>
    <w:p w:rsidR="00621B8B" w:rsidRDefault="00386965" w:rsidP="007855C9">
      <w:pPr>
        <w:shd w:val="clear" w:color="auto" w:fill="FFFFFF"/>
        <w:spacing w:line="240" w:lineRule="auto"/>
        <w:jc w:val="both"/>
        <w:rPr>
          <w:rFonts w:eastAsia="Times New Roman"/>
          <w:color w:val="222222"/>
          <w:lang w:val="en-US"/>
        </w:rPr>
      </w:pPr>
      <w:r>
        <w:rPr>
          <w:rFonts w:eastAsia="Times New Roman"/>
          <w:color w:val="222222"/>
          <w:lang w:val="en-US"/>
        </w:rPr>
        <w:t>Having end-users in mind at every step of the game is also vital for making strategic and tactical course corrections throughout the lifecycle of a project.</w:t>
      </w:r>
      <w:r w:rsidR="003D2F0D">
        <w:rPr>
          <w:rFonts w:eastAsia="Times New Roman"/>
          <w:color w:val="222222"/>
          <w:lang w:val="en-US"/>
        </w:rPr>
        <w:t xml:space="preserve"> </w:t>
      </w:r>
      <w:r w:rsidR="003D2F0D" w:rsidRPr="008873CA">
        <w:rPr>
          <w:rFonts w:eastAsia="Times New Roman"/>
          <w:color w:val="222222"/>
          <w:lang w:val="en-US"/>
        </w:rPr>
        <w:t xml:space="preserve">Baseline assessments at inception in each country and with each department </w:t>
      </w:r>
      <w:r w:rsidR="006B407D">
        <w:rPr>
          <w:rFonts w:eastAsia="Times New Roman"/>
          <w:color w:val="222222"/>
          <w:lang w:val="en-US"/>
        </w:rPr>
        <w:t xml:space="preserve">should have been carried out </w:t>
      </w:r>
      <w:r w:rsidR="003D2F0D" w:rsidRPr="008873CA">
        <w:rPr>
          <w:rFonts w:eastAsia="Times New Roman"/>
          <w:color w:val="222222"/>
          <w:lang w:val="en-US"/>
        </w:rPr>
        <w:t>to do this effectively</w:t>
      </w:r>
      <w:r w:rsidR="006B407D">
        <w:rPr>
          <w:rFonts w:eastAsia="Times New Roman"/>
          <w:color w:val="222222"/>
          <w:lang w:val="en-US"/>
        </w:rPr>
        <w:t>.</w:t>
      </w:r>
    </w:p>
    <w:p w:rsidR="00A83188" w:rsidRDefault="002D19E7" w:rsidP="007855C9">
      <w:pPr>
        <w:tabs>
          <w:tab w:val="left" w:pos="270"/>
          <w:tab w:val="left" w:pos="4860"/>
        </w:tabs>
        <w:spacing w:line="240" w:lineRule="auto"/>
        <w:jc w:val="both"/>
        <w:rPr>
          <w:lang w:val="en-US"/>
        </w:rPr>
      </w:pPr>
      <w:r w:rsidRPr="00E4756E">
        <w:rPr>
          <w:b/>
          <w:lang w:val="en-US"/>
        </w:rPr>
        <w:t>AFP should have</w:t>
      </w:r>
      <w:r w:rsidR="00846AB8" w:rsidRPr="00E4756E">
        <w:rPr>
          <w:b/>
          <w:lang w:val="en-US"/>
        </w:rPr>
        <w:t xml:space="preserve"> selected </w:t>
      </w:r>
      <w:r w:rsidR="00ED0127" w:rsidRPr="00E4756E">
        <w:rPr>
          <w:b/>
          <w:lang w:val="en-US"/>
        </w:rPr>
        <w:t xml:space="preserve">partner </w:t>
      </w:r>
      <w:r w:rsidR="00846AB8" w:rsidRPr="00E4756E">
        <w:rPr>
          <w:b/>
          <w:lang w:val="en-US"/>
        </w:rPr>
        <w:t>university departments based solely on merit, and not nature of ownership.</w:t>
      </w:r>
      <w:r w:rsidR="00C7324A" w:rsidRPr="00E4756E">
        <w:rPr>
          <w:lang w:val="en-US"/>
        </w:rPr>
        <w:t xml:space="preserve"> The </w:t>
      </w:r>
      <w:r w:rsidR="00ED0127" w:rsidRPr="00E4756E">
        <w:rPr>
          <w:lang w:val="en-US"/>
        </w:rPr>
        <w:t xml:space="preserve">2004 </w:t>
      </w:r>
      <w:r w:rsidR="00C7324A" w:rsidRPr="00E4756E">
        <w:rPr>
          <w:lang w:val="en-US"/>
        </w:rPr>
        <w:t xml:space="preserve">decision to engage solely </w:t>
      </w:r>
      <w:r w:rsidR="00ED0127" w:rsidRPr="00E4756E">
        <w:rPr>
          <w:lang w:val="en-US"/>
        </w:rPr>
        <w:t xml:space="preserve">with public </w:t>
      </w:r>
      <w:r w:rsidR="001D66A5" w:rsidRPr="00E4756E">
        <w:rPr>
          <w:lang w:val="en-US"/>
        </w:rPr>
        <w:t xml:space="preserve">universities made sense at the time. But as certain private universities became credible and influential actors in their countries’ higher education </w:t>
      </w:r>
      <w:r w:rsidR="00E938D0" w:rsidRPr="00E4756E">
        <w:rPr>
          <w:lang w:val="en-US"/>
        </w:rPr>
        <w:t xml:space="preserve">systems, </w:t>
      </w:r>
      <w:r w:rsidR="004D495C" w:rsidRPr="00E4756E">
        <w:rPr>
          <w:lang w:val="en-US"/>
        </w:rPr>
        <w:t>AFP should have brought its operations in line with the new realities. This was particularly relevant for the Western Balkans, Moldova and Ukraine</w:t>
      </w:r>
      <w:r w:rsidR="00E4756E" w:rsidRPr="00E4756E">
        <w:rPr>
          <w:lang w:val="en-US"/>
        </w:rPr>
        <w:t xml:space="preserve"> (e.g. Polis University in Albania, the Independent University of Moldova and Ukrainian Catholic University)</w:t>
      </w:r>
      <w:r w:rsidR="004D495C" w:rsidRPr="00E4756E">
        <w:rPr>
          <w:lang w:val="en-US"/>
        </w:rPr>
        <w:t>.</w:t>
      </w:r>
      <w:r w:rsidR="00E4756E" w:rsidRPr="00E4756E">
        <w:rPr>
          <w:lang w:val="en-US"/>
        </w:rPr>
        <w:t xml:space="preserve"> </w:t>
      </w:r>
      <w:r w:rsidR="00D50F21">
        <w:rPr>
          <w:lang w:val="en-US"/>
        </w:rPr>
        <w:t xml:space="preserve">In spite of </w:t>
      </w:r>
      <w:r w:rsidR="00E4756E" w:rsidRPr="00E4756E">
        <w:rPr>
          <w:lang w:val="en-US"/>
        </w:rPr>
        <w:t>repeated request</w:t>
      </w:r>
      <w:r w:rsidR="00D50F21">
        <w:rPr>
          <w:lang w:val="en-US"/>
        </w:rPr>
        <w:t xml:space="preserve">s by AFP field staff, HESP </w:t>
      </w:r>
      <w:r w:rsidR="00E4756E" w:rsidRPr="00E4756E">
        <w:rPr>
          <w:lang w:val="en-US"/>
        </w:rPr>
        <w:t xml:space="preserve">management </w:t>
      </w:r>
      <w:r w:rsidR="00D50F21">
        <w:rPr>
          <w:lang w:val="en-US"/>
        </w:rPr>
        <w:t xml:space="preserve">never </w:t>
      </w:r>
      <w:r w:rsidR="00E4756E" w:rsidRPr="00E4756E">
        <w:rPr>
          <w:lang w:val="en-US"/>
        </w:rPr>
        <w:t>re-examine</w:t>
      </w:r>
      <w:r w:rsidR="00D50F21">
        <w:rPr>
          <w:lang w:val="en-US"/>
        </w:rPr>
        <w:t>d</w:t>
      </w:r>
      <w:r w:rsidR="00E4756E" w:rsidRPr="00E4756E">
        <w:rPr>
          <w:lang w:val="en-US"/>
        </w:rPr>
        <w:t xml:space="preserve"> the original decision. Even when </w:t>
      </w:r>
      <w:r w:rsidR="00D76AA0" w:rsidRPr="00E4756E">
        <w:rPr>
          <w:lang w:val="en-US"/>
        </w:rPr>
        <w:t xml:space="preserve">isolated </w:t>
      </w:r>
      <w:r w:rsidR="00AA0885" w:rsidRPr="00E4756E">
        <w:rPr>
          <w:lang w:val="en-US"/>
        </w:rPr>
        <w:t xml:space="preserve">support did go to </w:t>
      </w:r>
      <w:r w:rsidR="00BE142E" w:rsidRPr="00E4756E">
        <w:rPr>
          <w:lang w:val="en-US"/>
        </w:rPr>
        <w:t xml:space="preserve">a </w:t>
      </w:r>
      <w:r w:rsidR="00AA0885" w:rsidRPr="00E4756E">
        <w:rPr>
          <w:lang w:val="en-US"/>
        </w:rPr>
        <w:t>private universit</w:t>
      </w:r>
      <w:r w:rsidR="00E02220" w:rsidRPr="00E4756E">
        <w:rPr>
          <w:lang w:val="en-US"/>
        </w:rPr>
        <w:t>y</w:t>
      </w:r>
      <w:r w:rsidR="00AA0885" w:rsidRPr="00E4756E">
        <w:rPr>
          <w:lang w:val="en-US"/>
        </w:rPr>
        <w:t xml:space="preserve"> (AUCA), such decisions were made based largely on personal relationships between certain HESP board members and university personnel.</w:t>
      </w:r>
      <w:r w:rsidR="002E5842" w:rsidRPr="00E4756E">
        <w:rPr>
          <w:lang w:val="en-US"/>
        </w:rPr>
        <w:t xml:space="preserve"> </w:t>
      </w:r>
    </w:p>
    <w:p w:rsidR="002B50F6" w:rsidRDefault="008F62A0" w:rsidP="007855C9">
      <w:pPr>
        <w:spacing w:line="240" w:lineRule="auto"/>
        <w:jc w:val="both"/>
        <w:rPr>
          <w:lang w:val="en-US"/>
        </w:rPr>
      </w:pPr>
      <w:r>
        <w:rPr>
          <w:b/>
          <w:lang w:val="en-US"/>
        </w:rPr>
        <w:t xml:space="preserve">Engaging in semi-closed societies </w:t>
      </w:r>
      <w:r w:rsidR="007B1188">
        <w:rPr>
          <w:b/>
          <w:lang w:val="en-US"/>
        </w:rPr>
        <w:t xml:space="preserve">can prove </w:t>
      </w:r>
      <w:r w:rsidR="00261953">
        <w:rPr>
          <w:b/>
          <w:lang w:val="en-US"/>
        </w:rPr>
        <w:t>worthwhile</w:t>
      </w:r>
      <w:r w:rsidR="007B1188">
        <w:rPr>
          <w:b/>
          <w:lang w:val="en-US"/>
        </w:rPr>
        <w:t xml:space="preserve"> – especially </w:t>
      </w:r>
      <w:r w:rsidR="00C322EE">
        <w:rPr>
          <w:b/>
          <w:lang w:val="en-US"/>
        </w:rPr>
        <w:t>when backed by</w:t>
      </w:r>
      <w:r w:rsidR="007B1188">
        <w:rPr>
          <w:b/>
          <w:lang w:val="en-US"/>
        </w:rPr>
        <w:t xml:space="preserve"> a tailored country strategy. </w:t>
      </w:r>
      <w:r w:rsidR="00D357AF">
        <w:rPr>
          <w:b/>
          <w:lang w:val="en-US"/>
        </w:rPr>
        <w:t xml:space="preserve">The same holds true for partnering with conservative universities. </w:t>
      </w:r>
      <w:r w:rsidR="007B1188">
        <w:rPr>
          <w:lang w:val="en-US"/>
        </w:rPr>
        <w:t xml:space="preserve">AFP’s experiences described herein with certain university departments in Azerbaijan and Russia, for instance, </w:t>
      </w:r>
      <w:r w:rsidR="004C09B8">
        <w:rPr>
          <w:lang w:val="en-US"/>
        </w:rPr>
        <w:t xml:space="preserve">proved that there are still islands of hope </w:t>
      </w:r>
      <w:r w:rsidR="00090975">
        <w:rPr>
          <w:lang w:val="en-US"/>
        </w:rPr>
        <w:t>with</w:t>
      </w:r>
      <w:r w:rsidR="004C09B8">
        <w:rPr>
          <w:lang w:val="en-US"/>
        </w:rPr>
        <w:t xml:space="preserve">in the higher education landscape </w:t>
      </w:r>
      <w:r w:rsidR="00090975">
        <w:rPr>
          <w:lang w:val="en-US"/>
        </w:rPr>
        <w:t>that</w:t>
      </w:r>
      <w:r w:rsidR="004C09B8">
        <w:rPr>
          <w:lang w:val="en-US"/>
        </w:rPr>
        <w:t>, over</w:t>
      </w:r>
      <w:r w:rsidR="00090975">
        <w:rPr>
          <w:lang w:val="en-US"/>
        </w:rPr>
        <w:t xml:space="preserve"> time</w:t>
      </w:r>
      <w:r w:rsidR="004C09B8">
        <w:rPr>
          <w:lang w:val="en-US"/>
        </w:rPr>
        <w:t xml:space="preserve">, could help </w:t>
      </w:r>
      <w:r w:rsidR="00261953">
        <w:rPr>
          <w:lang w:val="en-US"/>
        </w:rPr>
        <w:t xml:space="preserve">keep </w:t>
      </w:r>
      <w:r w:rsidR="00090975">
        <w:rPr>
          <w:lang w:val="en-US"/>
        </w:rPr>
        <w:t xml:space="preserve">afloat </w:t>
      </w:r>
      <w:r w:rsidR="00261953">
        <w:rPr>
          <w:lang w:val="en-US"/>
        </w:rPr>
        <w:t xml:space="preserve">critical liberal thinking. While success stories in such countries have tended to be </w:t>
      </w:r>
      <w:r w:rsidR="008A50F5">
        <w:rPr>
          <w:lang w:val="en-US"/>
        </w:rPr>
        <w:t>the exception</w:t>
      </w:r>
      <w:r w:rsidR="00261953">
        <w:rPr>
          <w:lang w:val="en-US"/>
        </w:rPr>
        <w:t xml:space="preserve"> rather than </w:t>
      </w:r>
      <w:r w:rsidR="008A50F5">
        <w:rPr>
          <w:lang w:val="en-US"/>
        </w:rPr>
        <w:t>the rule</w:t>
      </w:r>
      <w:r w:rsidR="00261953">
        <w:rPr>
          <w:lang w:val="en-US"/>
        </w:rPr>
        <w:t xml:space="preserve">, </w:t>
      </w:r>
      <w:r w:rsidR="00DB26D5">
        <w:rPr>
          <w:lang w:val="en-US"/>
        </w:rPr>
        <w:t>these pockets of achievement were accomplis</w:t>
      </w:r>
      <w:r w:rsidR="008A50F5">
        <w:rPr>
          <w:lang w:val="en-US"/>
        </w:rPr>
        <w:t>hed without the types of nuanced</w:t>
      </w:r>
      <w:r w:rsidR="00DB26D5">
        <w:rPr>
          <w:lang w:val="en-US"/>
        </w:rPr>
        <w:t xml:space="preserve"> country-strategy approaches being suggested in this paper.</w:t>
      </w:r>
      <w:r w:rsidR="008A50F5">
        <w:rPr>
          <w:lang w:val="en-US"/>
        </w:rPr>
        <w:t xml:space="preserve"> Even more can be achieved</w:t>
      </w:r>
      <w:r w:rsidR="00AC222B">
        <w:rPr>
          <w:lang w:val="en-US"/>
        </w:rPr>
        <w:t xml:space="preserve"> if done differently</w:t>
      </w:r>
      <w:r w:rsidR="00D357AF">
        <w:rPr>
          <w:lang w:val="en-US"/>
        </w:rPr>
        <w:t>.</w:t>
      </w:r>
      <w:r w:rsidR="00AC222B">
        <w:rPr>
          <w:lang w:val="en-US"/>
        </w:rPr>
        <w:t xml:space="preserve"> The same holds true for partnerships with c</w:t>
      </w:r>
      <w:r w:rsidR="000313BF">
        <w:rPr>
          <w:lang w:val="en-US"/>
        </w:rPr>
        <w:t>onservative universities.</w:t>
      </w:r>
    </w:p>
    <w:p w:rsidR="000313BF" w:rsidRDefault="00DF6BFF" w:rsidP="00DE6007">
      <w:pPr>
        <w:spacing w:line="240" w:lineRule="auto"/>
        <w:jc w:val="both"/>
        <w:rPr>
          <w:lang w:val="en-US"/>
        </w:rPr>
      </w:pPr>
      <w:r w:rsidRPr="008873CA">
        <w:rPr>
          <w:b/>
          <w:lang w:val="en-US"/>
        </w:rPr>
        <w:t xml:space="preserve">AFP’s outreach to partners </w:t>
      </w:r>
      <w:r w:rsidR="004A771D" w:rsidRPr="008873CA">
        <w:rPr>
          <w:b/>
          <w:lang w:val="en-US"/>
        </w:rPr>
        <w:t>has been</w:t>
      </w:r>
      <w:r w:rsidRPr="008873CA">
        <w:rPr>
          <w:b/>
          <w:lang w:val="en-US"/>
        </w:rPr>
        <w:t xml:space="preserve"> partially s</w:t>
      </w:r>
      <w:r w:rsidR="00621765" w:rsidRPr="008873CA">
        <w:rPr>
          <w:b/>
          <w:lang w:val="en-US"/>
        </w:rPr>
        <w:t>upply-driven</w:t>
      </w:r>
      <w:r w:rsidR="005E01E7" w:rsidRPr="008873CA">
        <w:rPr>
          <w:b/>
          <w:lang w:val="en-US"/>
        </w:rPr>
        <w:t xml:space="preserve"> — an approach that</w:t>
      </w:r>
      <w:r w:rsidRPr="008873CA">
        <w:rPr>
          <w:b/>
          <w:lang w:val="en-US"/>
        </w:rPr>
        <w:t xml:space="preserve"> continues to make sense.</w:t>
      </w:r>
      <w:r w:rsidR="00621765" w:rsidRPr="008873CA">
        <w:rPr>
          <w:lang w:val="en-US"/>
        </w:rPr>
        <w:t xml:space="preserve"> </w:t>
      </w:r>
      <w:r w:rsidR="00B42D14" w:rsidRPr="008873CA">
        <w:rPr>
          <w:lang w:val="en-US"/>
        </w:rPr>
        <w:t xml:space="preserve">Although in some countries this is slowly changing, public universities </w:t>
      </w:r>
      <w:r w:rsidR="00A960FA" w:rsidRPr="008873CA">
        <w:rPr>
          <w:lang w:val="en-US"/>
        </w:rPr>
        <w:t>have</w:t>
      </w:r>
      <w:r w:rsidR="00A30CBF" w:rsidRPr="008873CA">
        <w:rPr>
          <w:lang w:val="en-US"/>
        </w:rPr>
        <w:t xml:space="preserve"> had</w:t>
      </w:r>
      <w:r w:rsidR="00B42D14" w:rsidRPr="008873CA">
        <w:rPr>
          <w:lang w:val="en-US"/>
        </w:rPr>
        <w:t xml:space="preserve"> </w:t>
      </w:r>
      <w:r w:rsidR="00E65C5B" w:rsidRPr="008873CA">
        <w:rPr>
          <w:lang w:val="en-US"/>
        </w:rPr>
        <w:t>little</w:t>
      </w:r>
      <w:r w:rsidR="00B42D14" w:rsidRPr="008873CA">
        <w:rPr>
          <w:lang w:val="en-US"/>
        </w:rPr>
        <w:t xml:space="preserve"> experience, and </w:t>
      </w:r>
      <w:r w:rsidR="00E65C5B" w:rsidRPr="008873CA">
        <w:rPr>
          <w:lang w:val="en-US"/>
        </w:rPr>
        <w:t>minimal</w:t>
      </w:r>
      <w:r w:rsidR="00B42D14" w:rsidRPr="008873CA">
        <w:rPr>
          <w:lang w:val="en-US"/>
        </w:rPr>
        <w:t xml:space="preserve"> incentive, </w:t>
      </w:r>
      <w:r w:rsidR="00E65C5B" w:rsidRPr="008873CA">
        <w:rPr>
          <w:lang w:val="en-US"/>
        </w:rPr>
        <w:t>to apply</w:t>
      </w:r>
      <w:r w:rsidR="00B42D14" w:rsidRPr="008873CA">
        <w:rPr>
          <w:lang w:val="en-US"/>
        </w:rPr>
        <w:t xml:space="preserve"> for </w:t>
      </w:r>
      <w:r w:rsidR="00E65C5B" w:rsidRPr="008873CA">
        <w:rPr>
          <w:lang w:val="en-US"/>
        </w:rPr>
        <w:t xml:space="preserve">non-state </w:t>
      </w:r>
      <w:r w:rsidR="00B42D14" w:rsidRPr="008873CA">
        <w:rPr>
          <w:lang w:val="en-US"/>
        </w:rPr>
        <w:t xml:space="preserve">funds. </w:t>
      </w:r>
      <w:r w:rsidR="00AB2CC2" w:rsidRPr="008873CA">
        <w:rPr>
          <w:lang w:val="en-US"/>
        </w:rPr>
        <w:t>Because they</w:t>
      </w:r>
      <w:r w:rsidR="00E65C5B" w:rsidRPr="008873CA">
        <w:rPr>
          <w:lang w:val="en-US"/>
        </w:rPr>
        <w:t xml:space="preserve"> remain </w:t>
      </w:r>
      <w:r w:rsidR="00AB2CC2" w:rsidRPr="008873CA">
        <w:rPr>
          <w:lang w:val="en-US"/>
        </w:rPr>
        <w:t xml:space="preserve">patently </w:t>
      </w:r>
      <w:r w:rsidR="00E65C5B" w:rsidRPr="008873CA">
        <w:rPr>
          <w:lang w:val="en-US"/>
        </w:rPr>
        <w:t>non-</w:t>
      </w:r>
      <w:r w:rsidR="00B42D14" w:rsidRPr="008873CA">
        <w:rPr>
          <w:lang w:val="en-US"/>
        </w:rPr>
        <w:t>entrepreneurial</w:t>
      </w:r>
      <w:r w:rsidR="00FD18AE">
        <w:rPr>
          <w:lang w:val="en-US"/>
        </w:rPr>
        <w:t>,</w:t>
      </w:r>
      <w:r w:rsidR="00925F56" w:rsidRPr="008873CA">
        <w:rPr>
          <w:lang w:val="en-US"/>
        </w:rPr>
        <w:t xml:space="preserve"> AFP’s outreach role </w:t>
      </w:r>
      <w:r w:rsidR="00AB2CC2" w:rsidRPr="008873CA">
        <w:rPr>
          <w:lang w:val="en-US"/>
        </w:rPr>
        <w:t xml:space="preserve">includes </w:t>
      </w:r>
      <w:r w:rsidR="00925F56" w:rsidRPr="008873CA">
        <w:rPr>
          <w:lang w:val="en-US"/>
        </w:rPr>
        <w:t xml:space="preserve">breaking this psychological barrier and then empowering </w:t>
      </w:r>
      <w:r w:rsidR="00AB2CC2" w:rsidRPr="008873CA">
        <w:rPr>
          <w:lang w:val="en-US"/>
        </w:rPr>
        <w:t xml:space="preserve">department ‘champions’ </w:t>
      </w:r>
      <w:r w:rsidR="00925F56" w:rsidRPr="008873CA">
        <w:rPr>
          <w:lang w:val="en-US"/>
        </w:rPr>
        <w:t xml:space="preserve">with </w:t>
      </w:r>
      <w:r w:rsidR="008A39E0" w:rsidRPr="008873CA">
        <w:rPr>
          <w:lang w:val="en-US"/>
        </w:rPr>
        <w:t xml:space="preserve">the requisite </w:t>
      </w:r>
      <w:r w:rsidR="00925F56" w:rsidRPr="008873CA">
        <w:rPr>
          <w:lang w:val="en-US"/>
        </w:rPr>
        <w:t xml:space="preserve">skills to </w:t>
      </w:r>
      <w:r w:rsidR="00C5083E" w:rsidRPr="008873CA">
        <w:rPr>
          <w:lang w:val="en-US"/>
        </w:rPr>
        <w:t xml:space="preserve">effectively </w:t>
      </w:r>
      <w:r w:rsidR="008A39E0" w:rsidRPr="008873CA">
        <w:rPr>
          <w:lang w:val="en-US"/>
        </w:rPr>
        <w:t xml:space="preserve">partner </w:t>
      </w:r>
      <w:r w:rsidR="00C5083E" w:rsidRPr="008873CA">
        <w:rPr>
          <w:lang w:val="en-US"/>
        </w:rPr>
        <w:t xml:space="preserve">with Returning and International Scholars. </w:t>
      </w:r>
      <w:r w:rsidR="008A39E0" w:rsidRPr="008873CA">
        <w:rPr>
          <w:lang w:val="en-US"/>
        </w:rPr>
        <w:t xml:space="preserve">This notion was reinforced </w:t>
      </w:r>
      <w:r w:rsidR="00910B8A" w:rsidRPr="008873CA">
        <w:rPr>
          <w:lang w:val="en-US"/>
        </w:rPr>
        <w:t>by</w:t>
      </w:r>
      <w:r w:rsidR="008A39E0" w:rsidRPr="008873CA">
        <w:rPr>
          <w:lang w:val="en-US"/>
        </w:rPr>
        <w:t xml:space="preserve"> HESP’s </w:t>
      </w:r>
      <w:r w:rsidR="00910B8A" w:rsidRPr="008873CA">
        <w:rPr>
          <w:lang w:val="en-US"/>
        </w:rPr>
        <w:t>recent engagement in Palestine, where an Open Call for departmental partners went unanswered</w:t>
      </w:r>
      <w:r w:rsidR="004A771D" w:rsidRPr="008873CA">
        <w:rPr>
          <w:lang w:val="en-US"/>
        </w:rPr>
        <w:t>, but where solid partners were identified through direct outreach.</w:t>
      </w:r>
    </w:p>
    <w:p w:rsidR="004A771D" w:rsidRDefault="00274598" w:rsidP="00DE6007">
      <w:pPr>
        <w:spacing w:line="240" w:lineRule="auto"/>
        <w:jc w:val="both"/>
        <w:rPr>
          <w:lang w:val="en-US"/>
        </w:rPr>
      </w:pPr>
      <w:r w:rsidRPr="008873CA">
        <w:rPr>
          <w:b/>
          <w:lang w:val="en-US"/>
        </w:rPr>
        <w:t xml:space="preserve">AFP could have operated with a leaner administrative structure. </w:t>
      </w:r>
      <w:r w:rsidR="00FB7184" w:rsidRPr="008873CA">
        <w:rPr>
          <w:lang w:val="en-US"/>
        </w:rPr>
        <w:t>AFP operated through a Central Office (Budapest), Regional Offices (Belgrade, Tbilisi, Kiev and Bishkek) and National Offices</w:t>
      </w:r>
      <w:r w:rsidR="00332499" w:rsidRPr="008873CA">
        <w:rPr>
          <w:lang w:val="en-US"/>
        </w:rPr>
        <w:t xml:space="preserve"> in </w:t>
      </w:r>
      <w:r w:rsidR="00B3578D" w:rsidRPr="008873CA">
        <w:rPr>
          <w:lang w:val="en-US"/>
        </w:rPr>
        <w:t>five</w:t>
      </w:r>
      <w:r w:rsidR="00332499" w:rsidRPr="008873CA">
        <w:rPr>
          <w:lang w:val="en-US"/>
        </w:rPr>
        <w:t xml:space="preserve"> countries.</w:t>
      </w:r>
      <w:r w:rsidR="00FB7184" w:rsidRPr="008873CA">
        <w:rPr>
          <w:lang w:val="en-US"/>
        </w:rPr>
        <w:t xml:space="preserve"> </w:t>
      </w:r>
      <w:r w:rsidR="003B6DB0" w:rsidRPr="008873CA">
        <w:rPr>
          <w:lang w:val="en-US"/>
        </w:rPr>
        <w:t>Given the limited numbers of institutions AFP partnered wi</w:t>
      </w:r>
      <w:r w:rsidR="00FB7184" w:rsidRPr="008873CA">
        <w:rPr>
          <w:lang w:val="en-US"/>
        </w:rPr>
        <w:t xml:space="preserve">th, </w:t>
      </w:r>
      <w:r w:rsidR="00332499" w:rsidRPr="008873CA">
        <w:rPr>
          <w:lang w:val="en-US"/>
        </w:rPr>
        <w:t>however, this could have</w:t>
      </w:r>
      <w:r w:rsidR="00B01C90" w:rsidRPr="008873CA">
        <w:rPr>
          <w:lang w:val="en-US"/>
        </w:rPr>
        <w:t xml:space="preserve"> been reduced to solely C</w:t>
      </w:r>
      <w:r w:rsidR="00332499" w:rsidRPr="008873CA">
        <w:rPr>
          <w:lang w:val="en-US"/>
        </w:rPr>
        <w:t xml:space="preserve">entral and Regional Office personnel. </w:t>
      </w:r>
      <w:r w:rsidR="00B01C90" w:rsidRPr="008873CA">
        <w:rPr>
          <w:lang w:val="en-US"/>
        </w:rPr>
        <w:t xml:space="preserve">This being particularly </w:t>
      </w:r>
      <w:r w:rsidR="00185529" w:rsidRPr="008873CA">
        <w:rPr>
          <w:lang w:val="en-US"/>
        </w:rPr>
        <w:t>so because National O</w:t>
      </w:r>
      <w:r w:rsidR="00B01C90" w:rsidRPr="008873CA">
        <w:rPr>
          <w:lang w:val="en-US"/>
        </w:rPr>
        <w:t xml:space="preserve">ffice staff ended up conducting mainly administrative tasks </w:t>
      </w:r>
      <w:r w:rsidR="00185529" w:rsidRPr="008873CA">
        <w:rPr>
          <w:lang w:val="en-US"/>
        </w:rPr>
        <w:t xml:space="preserve">which could have been handled centrally or regionally with less overall </w:t>
      </w:r>
      <w:r w:rsidR="00E578C3" w:rsidRPr="008873CA">
        <w:rPr>
          <w:lang w:val="en-US"/>
        </w:rPr>
        <w:t>human resources</w:t>
      </w:r>
      <w:r w:rsidR="00C81658">
        <w:rPr>
          <w:lang w:val="en-US"/>
        </w:rPr>
        <w:t>.</w:t>
      </w:r>
    </w:p>
    <w:p w:rsidR="007320A9" w:rsidRDefault="00F234B1" w:rsidP="00DE6007">
      <w:pPr>
        <w:tabs>
          <w:tab w:val="left" w:pos="270"/>
        </w:tabs>
        <w:spacing w:line="240" w:lineRule="auto"/>
        <w:jc w:val="both"/>
        <w:rPr>
          <w:lang w:val="en-US"/>
        </w:rPr>
      </w:pPr>
      <w:r w:rsidRPr="00271635">
        <w:rPr>
          <w:b/>
          <w:lang w:val="en-US"/>
        </w:rPr>
        <w:t xml:space="preserve">AFP </w:t>
      </w:r>
      <w:r w:rsidR="00CD449C" w:rsidRPr="00271635">
        <w:rPr>
          <w:b/>
          <w:lang w:val="en-US"/>
        </w:rPr>
        <w:t>should</w:t>
      </w:r>
      <w:r w:rsidRPr="00271635">
        <w:rPr>
          <w:b/>
          <w:lang w:val="en-US"/>
        </w:rPr>
        <w:t xml:space="preserve"> have more effectively b</w:t>
      </w:r>
      <w:r w:rsidR="00671EA6" w:rsidRPr="00271635">
        <w:rPr>
          <w:b/>
          <w:lang w:val="en-US"/>
        </w:rPr>
        <w:t>alance</w:t>
      </w:r>
      <w:r w:rsidRPr="00271635">
        <w:rPr>
          <w:b/>
          <w:lang w:val="en-US"/>
        </w:rPr>
        <w:t>d</w:t>
      </w:r>
      <w:r w:rsidR="00671EA6" w:rsidRPr="00271635">
        <w:rPr>
          <w:b/>
          <w:lang w:val="en-US"/>
        </w:rPr>
        <w:t xml:space="preserve"> </w:t>
      </w:r>
      <w:r w:rsidR="002A68B1">
        <w:rPr>
          <w:b/>
          <w:lang w:val="en-US"/>
        </w:rPr>
        <w:t xml:space="preserve">its </w:t>
      </w:r>
      <w:r w:rsidR="00D50F21">
        <w:rPr>
          <w:b/>
          <w:lang w:val="en-US"/>
        </w:rPr>
        <w:t xml:space="preserve">support to </w:t>
      </w:r>
      <w:r w:rsidR="00FD18AE">
        <w:rPr>
          <w:b/>
          <w:lang w:val="en-US"/>
        </w:rPr>
        <w:t>individual</w:t>
      </w:r>
      <w:r w:rsidR="00671EA6" w:rsidRPr="00271635">
        <w:rPr>
          <w:b/>
          <w:lang w:val="en-US"/>
        </w:rPr>
        <w:t xml:space="preserve"> </w:t>
      </w:r>
      <w:r w:rsidR="00D50F21">
        <w:rPr>
          <w:b/>
          <w:lang w:val="en-US"/>
        </w:rPr>
        <w:t xml:space="preserve">academics </w:t>
      </w:r>
      <w:r w:rsidR="00671EA6" w:rsidRPr="00271635">
        <w:rPr>
          <w:b/>
          <w:lang w:val="en-US"/>
        </w:rPr>
        <w:t xml:space="preserve">with </w:t>
      </w:r>
      <w:r w:rsidR="00D50F21">
        <w:rPr>
          <w:b/>
          <w:lang w:val="en-US"/>
        </w:rPr>
        <w:t>development grants to</w:t>
      </w:r>
      <w:r w:rsidRPr="00271635">
        <w:rPr>
          <w:b/>
          <w:lang w:val="en-US"/>
        </w:rPr>
        <w:t xml:space="preserve"> departments</w:t>
      </w:r>
      <w:r w:rsidR="00671EA6" w:rsidRPr="00271635">
        <w:rPr>
          <w:lang w:val="en-US"/>
        </w:rPr>
        <w:t xml:space="preserve">. </w:t>
      </w:r>
      <w:r w:rsidR="00361104" w:rsidRPr="00271635">
        <w:rPr>
          <w:lang w:val="en-US"/>
        </w:rPr>
        <w:t>The</w:t>
      </w:r>
      <w:r w:rsidR="00671EA6" w:rsidRPr="00271635">
        <w:rPr>
          <w:lang w:val="en-US"/>
        </w:rPr>
        <w:t xml:space="preserve"> Departmental Development</w:t>
      </w:r>
      <w:r w:rsidR="00361104" w:rsidRPr="00271635">
        <w:rPr>
          <w:lang w:val="en-US"/>
        </w:rPr>
        <w:t xml:space="preserve"> Fund, AFP’s only instrument </w:t>
      </w:r>
      <w:r w:rsidR="001C431F" w:rsidRPr="00271635">
        <w:rPr>
          <w:lang w:val="en-US"/>
        </w:rPr>
        <w:t xml:space="preserve">to </w:t>
      </w:r>
      <w:r w:rsidR="00817036" w:rsidRPr="00271635">
        <w:rPr>
          <w:lang w:val="en-US"/>
        </w:rPr>
        <w:t xml:space="preserve">complement individual support </w:t>
      </w:r>
      <w:r w:rsidR="0052600F" w:rsidRPr="00271635">
        <w:rPr>
          <w:lang w:val="en-US"/>
        </w:rPr>
        <w:t xml:space="preserve">mechanisms with </w:t>
      </w:r>
      <w:r w:rsidR="00361104" w:rsidRPr="00271635">
        <w:rPr>
          <w:lang w:val="en-US"/>
        </w:rPr>
        <w:t xml:space="preserve">direct financial </w:t>
      </w:r>
      <w:r w:rsidR="0052600F" w:rsidRPr="00271635">
        <w:rPr>
          <w:lang w:val="en-US"/>
        </w:rPr>
        <w:t xml:space="preserve">assistance </w:t>
      </w:r>
      <w:r w:rsidR="00361104" w:rsidRPr="00271635">
        <w:rPr>
          <w:lang w:val="en-US"/>
        </w:rPr>
        <w:t>to university departments</w:t>
      </w:r>
      <w:r w:rsidR="00817036" w:rsidRPr="00271635">
        <w:rPr>
          <w:lang w:val="en-US"/>
        </w:rPr>
        <w:t xml:space="preserve">, </w:t>
      </w:r>
      <w:r w:rsidR="00671EA6" w:rsidRPr="00271635">
        <w:rPr>
          <w:lang w:val="en-US"/>
        </w:rPr>
        <w:t xml:space="preserve">should </w:t>
      </w:r>
      <w:r w:rsidR="00CD449C" w:rsidRPr="00271635">
        <w:rPr>
          <w:lang w:val="en-US"/>
        </w:rPr>
        <w:t xml:space="preserve">have </w:t>
      </w:r>
      <w:r w:rsidR="00671EA6" w:rsidRPr="00271635">
        <w:rPr>
          <w:lang w:val="en-US"/>
        </w:rPr>
        <w:t>be</w:t>
      </w:r>
      <w:r w:rsidR="00CD449C" w:rsidRPr="00271635">
        <w:rPr>
          <w:lang w:val="en-US"/>
        </w:rPr>
        <w:t>en rethought and improved.</w:t>
      </w:r>
      <w:r w:rsidR="0052600F" w:rsidRPr="00271635">
        <w:rPr>
          <w:lang w:val="en-US"/>
        </w:rPr>
        <w:t xml:space="preserve"> The Fund lacke</w:t>
      </w:r>
      <w:r w:rsidR="00907DBD" w:rsidRPr="00271635">
        <w:rPr>
          <w:lang w:val="en-US"/>
        </w:rPr>
        <w:t xml:space="preserve">d </w:t>
      </w:r>
      <w:r w:rsidR="0052600F" w:rsidRPr="00271635">
        <w:rPr>
          <w:lang w:val="en-US"/>
        </w:rPr>
        <w:t xml:space="preserve">clarity of purpose which led to </w:t>
      </w:r>
      <w:r w:rsidR="00907DBD" w:rsidRPr="00271635">
        <w:rPr>
          <w:lang w:val="en-US"/>
        </w:rPr>
        <w:t>vague terms of reference</w:t>
      </w:r>
      <w:r w:rsidR="00D30305" w:rsidRPr="00271635">
        <w:rPr>
          <w:lang w:val="en-US"/>
        </w:rPr>
        <w:t>. The result</w:t>
      </w:r>
      <w:r w:rsidR="00785AE1" w:rsidRPr="00271635">
        <w:rPr>
          <w:lang w:val="en-US"/>
        </w:rPr>
        <w:t xml:space="preserve"> was </w:t>
      </w:r>
      <w:r w:rsidR="001C431F" w:rsidRPr="00271635">
        <w:rPr>
          <w:lang w:val="en-US"/>
        </w:rPr>
        <w:t>few</w:t>
      </w:r>
      <w:r w:rsidR="00785AE1" w:rsidRPr="00271635">
        <w:rPr>
          <w:lang w:val="en-US"/>
        </w:rPr>
        <w:t xml:space="preserve"> </w:t>
      </w:r>
      <w:r w:rsidR="00785AE1" w:rsidRPr="006756A9">
        <w:rPr>
          <w:lang w:val="en-US"/>
        </w:rPr>
        <w:t>application</w:t>
      </w:r>
      <w:r w:rsidR="001C431F" w:rsidRPr="006756A9">
        <w:rPr>
          <w:lang w:val="en-US"/>
        </w:rPr>
        <w:t>s coupled with a high rejection</w:t>
      </w:r>
      <w:r w:rsidR="00785AE1" w:rsidRPr="006756A9">
        <w:rPr>
          <w:lang w:val="en-US"/>
        </w:rPr>
        <w:t xml:space="preserve"> rate</w:t>
      </w:r>
      <w:r w:rsidR="00907DBD" w:rsidRPr="006756A9">
        <w:rPr>
          <w:lang w:val="en-US"/>
        </w:rPr>
        <w:t xml:space="preserve">. </w:t>
      </w:r>
      <w:r w:rsidR="00471E0D" w:rsidRPr="006756A9">
        <w:rPr>
          <w:lang w:val="en-US"/>
        </w:rPr>
        <w:t xml:space="preserve">For instance, alongside the individual </w:t>
      </w:r>
      <w:r w:rsidR="00F94A1A">
        <w:rPr>
          <w:lang w:val="en-US"/>
        </w:rPr>
        <w:t>fellowships</w:t>
      </w:r>
      <w:r w:rsidR="006756A9">
        <w:rPr>
          <w:lang w:val="en-US"/>
        </w:rPr>
        <w:t xml:space="preserve"> </w:t>
      </w:r>
      <w:r w:rsidR="00471E0D" w:rsidRPr="006756A9">
        <w:rPr>
          <w:lang w:val="en-US"/>
        </w:rPr>
        <w:t>to the LLM at Baku State University</w:t>
      </w:r>
      <w:r w:rsidR="007320A9">
        <w:rPr>
          <w:lang w:val="en-US"/>
        </w:rPr>
        <w:t>,</w:t>
      </w:r>
      <w:r w:rsidR="00B2365F" w:rsidRPr="006756A9">
        <w:rPr>
          <w:lang w:val="en-US"/>
        </w:rPr>
        <w:t xml:space="preserve"> AFP’s support for a library </w:t>
      </w:r>
      <w:r w:rsidR="00F94A1A">
        <w:rPr>
          <w:lang w:val="en-US"/>
        </w:rPr>
        <w:t xml:space="preserve">with critical titles on human rights </w:t>
      </w:r>
      <w:r w:rsidR="00B2365F" w:rsidRPr="006756A9">
        <w:rPr>
          <w:lang w:val="en-US"/>
        </w:rPr>
        <w:t>could have been decidedly useful.</w:t>
      </w:r>
      <w:r w:rsidR="00FD18AE" w:rsidRPr="00FD18AE">
        <w:rPr>
          <w:lang w:val="en-US"/>
        </w:rPr>
        <w:t xml:space="preserve"> </w:t>
      </w:r>
      <w:r w:rsidR="00F94A1A">
        <w:rPr>
          <w:lang w:val="en-US"/>
        </w:rPr>
        <w:t xml:space="preserve">We believe that departments would have been better invested in the outcomes of the AFP interventions had we extended our grants </w:t>
      </w:r>
      <w:r w:rsidR="002A68B1">
        <w:rPr>
          <w:lang w:val="en-US"/>
        </w:rPr>
        <w:t xml:space="preserve">a) </w:t>
      </w:r>
      <w:r w:rsidR="00F94A1A">
        <w:rPr>
          <w:lang w:val="en-US"/>
        </w:rPr>
        <w:t>to induct non-</w:t>
      </w:r>
      <w:r w:rsidR="002A68B1">
        <w:rPr>
          <w:lang w:val="en-US"/>
        </w:rPr>
        <w:t xml:space="preserve">AFP </w:t>
      </w:r>
      <w:r w:rsidR="00F94A1A">
        <w:rPr>
          <w:lang w:val="en-US"/>
        </w:rPr>
        <w:t>faculty in the newly designed curricula</w:t>
      </w:r>
      <w:r w:rsidR="002A68B1">
        <w:rPr>
          <w:lang w:val="en-US"/>
        </w:rPr>
        <w:t xml:space="preserve"> and teaching methodology;</w:t>
      </w:r>
      <w:r w:rsidR="00F94A1A">
        <w:rPr>
          <w:lang w:val="en-US"/>
        </w:rPr>
        <w:t xml:space="preserve"> </w:t>
      </w:r>
      <w:r w:rsidR="002A68B1">
        <w:rPr>
          <w:lang w:val="en-US"/>
        </w:rPr>
        <w:t>b)</w:t>
      </w:r>
      <w:r w:rsidR="002A68B1" w:rsidRPr="002A68B1">
        <w:rPr>
          <w:lang w:val="en-US"/>
        </w:rPr>
        <w:t xml:space="preserve"> </w:t>
      </w:r>
      <w:r w:rsidR="002A68B1">
        <w:rPr>
          <w:lang w:val="en-US"/>
        </w:rPr>
        <w:t>to support professional development of the entire department and not only those of the returning scholars, or c) to improve departments’ management.</w:t>
      </w:r>
    </w:p>
    <w:p w:rsidR="009651DA" w:rsidRPr="007320A9" w:rsidRDefault="00B81AF0" w:rsidP="007855C9">
      <w:pPr>
        <w:pStyle w:val="Heading3"/>
        <w:spacing w:before="0" w:after="200"/>
        <w:rPr>
          <w:sz w:val="24"/>
          <w:szCs w:val="24"/>
          <w:lang w:val="en-US"/>
        </w:rPr>
      </w:pPr>
      <w:r w:rsidRPr="007320A9">
        <w:rPr>
          <w:sz w:val="24"/>
          <w:szCs w:val="24"/>
          <w:lang w:val="en-US"/>
        </w:rPr>
        <w:t xml:space="preserve">Lessons </w:t>
      </w:r>
      <w:r w:rsidR="002A557C" w:rsidRPr="007320A9">
        <w:rPr>
          <w:sz w:val="24"/>
          <w:szCs w:val="24"/>
          <w:lang w:val="en-US"/>
        </w:rPr>
        <w:t>l</w:t>
      </w:r>
      <w:r w:rsidRPr="007320A9">
        <w:rPr>
          <w:sz w:val="24"/>
          <w:szCs w:val="24"/>
          <w:lang w:val="en-US"/>
        </w:rPr>
        <w:t>earned regarding AFP’s</w:t>
      </w:r>
      <w:r w:rsidR="00064788" w:rsidRPr="007320A9">
        <w:rPr>
          <w:sz w:val="24"/>
          <w:szCs w:val="24"/>
          <w:lang w:val="en-US"/>
        </w:rPr>
        <w:t xml:space="preserve"> catalysts of reform — </w:t>
      </w:r>
      <w:r w:rsidRPr="007320A9">
        <w:rPr>
          <w:sz w:val="24"/>
          <w:szCs w:val="24"/>
          <w:lang w:val="en-US"/>
        </w:rPr>
        <w:t xml:space="preserve">Returning and </w:t>
      </w:r>
      <w:r w:rsidR="00064788" w:rsidRPr="007320A9">
        <w:rPr>
          <w:sz w:val="24"/>
          <w:szCs w:val="24"/>
          <w:lang w:val="en-US"/>
        </w:rPr>
        <w:t>International</w:t>
      </w:r>
      <w:r w:rsidRPr="007320A9">
        <w:rPr>
          <w:sz w:val="24"/>
          <w:szCs w:val="24"/>
          <w:lang w:val="en-US"/>
        </w:rPr>
        <w:t xml:space="preserve"> Scholars</w:t>
      </w:r>
    </w:p>
    <w:p w:rsidR="00A22B8B" w:rsidRDefault="003B0D2D" w:rsidP="00362A96">
      <w:pPr>
        <w:spacing w:line="240" w:lineRule="auto"/>
        <w:jc w:val="both"/>
        <w:rPr>
          <w:lang w:val="en-US"/>
        </w:rPr>
      </w:pPr>
      <w:r>
        <w:rPr>
          <w:lang w:val="en-US"/>
        </w:rPr>
        <w:t xml:space="preserve">Overall, the Returning and International Scholar schemes worked well and achieved what they set out to achieve. </w:t>
      </w:r>
      <w:r w:rsidR="00625EE7">
        <w:rPr>
          <w:lang w:val="en-US"/>
        </w:rPr>
        <w:t xml:space="preserve">Through trial and error over the years </w:t>
      </w:r>
      <w:r w:rsidR="00BF3805">
        <w:rPr>
          <w:lang w:val="en-US"/>
        </w:rPr>
        <w:t>AFP</w:t>
      </w:r>
      <w:r w:rsidR="00625EE7">
        <w:rPr>
          <w:lang w:val="en-US"/>
        </w:rPr>
        <w:t xml:space="preserve"> discerned what the main factors of success were and what needed to be amended. This section summarizes </w:t>
      </w:r>
      <w:r w:rsidR="00C42A73">
        <w:rPr>
          <w:lang w:val="en-US"/>
        </w:rPr>
        <w:t xml:space="preserve">the most important revelations from </w:t>
      </w:r>
      <w:r w:rsidR="00625EE7">
        <w:rPr>
          <w:lang w:val="en-US"/>
        </w:rPr>
        <w:t>that</w:t>
      </w:r>
      <w:r w:rsidR="00C42A73">
        <w:rPr>
          <w:lang w:val="en-US"/>
        </w:rPr>
        <w:t xml:space="preserve"> learning process.</w:t>
      </w:r>
    </w:p>
    <w:p w:rsidR="00D81A38" w:rsidRDefault="00EB0C91" w:rsidP="00DE6007">
      <w:pPr>
        <w:spacing w:line="240" w:lineRule="auto"/>
        <w:jc w:val="both"/>
        <w:rPr>
          <w:lang w:val="en-US"/>
        </w:rPr>
      </w:pPr>
      <w:r w:rsidRPr="00271635">
        <w:rPr>
          <w:b/>
          <w:lang w:val="en-US"/>
        </w:rPr>
        <w:t>The n</w:t>
      </w:r>
      <w:r w:rsidR="00475E17" w:rsidRPr="00271635">
        <w:rPr>
          <w:b/>
          <w:lang w:val="en-US"/>
        </w:rPr>
        <w:t xml:space="preserve">umber of Returning Scholars </w:t>
      </w:r>
      <w:r w:rsidR="0072678B" w:rsidRPr="00271635">
        <w:rPr>
          <w:b/>
          <w:lang w:val="en-US"/>
        </w:rPr>
        <w:t xml:space="preserve">working together </w:t>
      </w:r>
      <w:r w:rsidRPr="00271635">
        <w:rPr>
          <w:b/>
          <w:lang w:val="en-US"/>
        </w:rPr>
        <w:t>matters</w:t>
      </w:r>
      <w:r w:rsidR="00C219F3">
        <w:rPr>
          <w:b/>
          <w:lang w:val="en-US"/>
        </w:rPr>
        <w:t xml:space="preserve"> — as does</w:t>
      </w:r>
      <w:r w:rsidR="00631616">
        <w:rPr>
          <w:b/>
          <w:lang w:val="en-US"/>
        </w:rPr>
        <w:t xml:space="preserve"> their long-term departmental integration</w:t>
      </w:r>
      <w:r w:rsidRPr="00271635">
        <w:rPr>
          <w:b/>
          <w:lang w:val="en-US"/>
        </w:rPr>
        <w:t>.</w:t>
      </w:r>
      <w:r w:rsidR="00475E17" w:rsidRPr="00271635">
        <w:rPr>
          <w:b/>
          <w:lang w:val="en-US"/>
        </w:rPr>
        <w:t xml:space="preserve"> </w:t>
      </w:r>
      <w:r w:rsidR="00475E17" w:rsidRPr="00271635">
        <w:rPr>
          <w:lang w:val="en-US"/>
        </w:rPr>
        <w:t xml:space="preserve">As a rule, </w:t>
      </w:r>
      <w:r w:rsidR="00D161FE" w:rsidRPr="00271635">
        <w:rPr>
          <w:lang w:val="en-US"/>
        </w:rPr>
        <w:t>AFP has seen the most success with</w:t>
      </w:r>
      <w:r w:rsidR="00475E17" w:rsidRPr="00271635">
        <w:rPr>
          <w:lang w:val="en-US"/>
        </w:rPr>
        <w:t xml:space="preserve"> departments that have strategically used AFP to create a sizeable team of Western-educated faculty over the duration of multiple years. At these departments, Returning Scholars teach many newly-introduced or revised courses.</w:t>
      </w:r>
      <w:r w:rsidR="00475E17" w:rsidRPr="0098640B">
        <w:rPr>
          <w:rStyle w:val="FootnoteReference"/>
          <w:lang w:val="en-US"/>
        </w:rPr>
        <w:footnoteReference w:id="7"/>
      </w:r>
      <w:r w:rsidR="00475E17" w:rsidRPr="0098640B">
        <w:rPr>
          <w:rStyle w:val="FootnoteReference"/>
        </w:rPr>
        <w:t xml:space="preserve"> </w:t>
      </w:r>
      <w:r w:rsidR="00475E17" w:rsidRPr="00271635">
        <w:rPr>
          <w:lang w:val="en-US"/>
        </w:rPr>
        <w:t xml:space="preserve">In some exceptional cases, such as the Department of Political Science at Skopje University, AFP has supported as many as 9 Returning Scholars (almost the entire departmental faculty), which together with a supportive head of the department led to the development of political science as a discipline in Macedonia. </w:t>
      </w:r>
      <w:r w:rsidR="00632809">
        <w:rPr>
          <w:lang w:val="en-US"/>
        </w:rPr>
        <w:t xml:space="preserve">In hindsight, </w:t>
      </w:r>
      <w:r w:rsidR="00D93ADC" w:rsidRPr="002B50F6">
        <w:rPr>
          <w:lang w:val="en-US"/>
        </w:rPr>
        <w:t>those interventions</w:t>
      </w:r>
      <w:r w:rsidR="00632809">
        <w:rPr>
          <w:lang w:val="en-US"/>
        </w:rPr>
        <w:t xml:space="preserve"> considered to be</w:t>
      </w:r>
      <w:r w:rsidR="00C1084D" w:rsidRPr="002B50F6">
        <w:rPr>
          <w:lang w:val="en-US"/>
        </w:rPr>
        <w:t xml:space="preserve"> failures supported Returning Scholars </w:t>
      </w:r>
      <w:r w:rsidR="00632809">
        <w:rPr>
          <w:lang w:val="en-US"/>
        </w:rPr>
        <w:t xml:space="preserve">that </w:t>
      </w:r>
      <w:r w:rsidR="00C1084D" w:rsidRPr="002B50F6">
        <w:rPr>
          <w:lang w:val="en-US"/>
        </w:rPr>
        <w:t>are no</w:t>
      </w:r>
      <w:r w:rsidR="00632809">
        <w:rPr>
          <w:lang w:val="en-US"/>
        </w:rPr>
        <w:t xml:space="preserve"> longer</w:t>
      </w:r>
      <w:r w:rsidR="00C1084D" w:rsidRPr="002B50F6">
        <w:rPr>
          <w:lang w:val="en-US"/>
        </w:rPr>
        <w:t xml:space="preserve"> at the departments. </w:t>
      </w:r>
      <w:r w:rsidR="00992C7E" w:rsidRPr="002B50F6">
        <w:rPr>
          <w:lang w:val="en-US"/>
        </w:rPr>
        <w:t>AFP’s policy of</w:t>
      </w:r>
      <w:r w:rsidR="00C1084D" w:rsidRPr="002B50F6">
        <w:rPr>
          <w:lang w:val="en-US"/>
        </w:rPr>
        <w:t xml:space="preserve"> support</w:t>
      </w:r>
      <w:r w:rsidR="00992C7E" w:rsidRPr="002B50F6">
        <w:rPr>
          <w:lang w:val="en-US"/>
        </w:rPr>
        <w:t>ing</w:t>
      </w:r>
      <w:r w:rsidR="00C1084D" w:rsidRPr="002B50F6">
        <w:rPr>
          <w:lang w:val="en-US"/>
        </w:rPr>
        <w:t xml:space="preserve"> </w:t>
      </w:r>
      <w:r w:rsidR="00992C7E" w:rsidRPr="002B50F6">
        <w:rPr>
          <w:lang w:val="en-US"/>
        </w:rPr>
        <w:t xml:space="preserve">those </w:t>
      </w:r>
      <w:r w:rsidR="00C1084D" w:rsidRPr="002B50F6">
        <w:rPr>
          <w:lang w:val="en-US"/>
        </w:rPr>
        <w:t xml:space="preserve">departments </w:t>
      </w:r>
      <w:r w:rsidR="00992C7E" w:rsidRPr="002B50F6">
        <w:rPr>
          <w:lang w:val="en-US"/>
        </w:rPr>
        <w:t>with</w:t>
      </w:r>
      <w:r w:rsidR="00C1084D" w:rsidRPr="002B50F6">
        <w:rPr>
          <w:lang w:val="en-US"/>
        </w:rPr>
        <w:t xml:space="preserve"> at least two Returning Scholars and a clear plan </w:t>
      </w:r>
      <w:r w:rsidR="00992C7E" w:rsidRPr="002B50F6">
        <w:rPr>
          <w:lang w:val="en-US"/>
        </w:rPr>
        <w:t>for</w:t>
      </w:r>
      <w:r w:rsidR="00C1084D" w:rsidRPr="002B50F6">
        <w:rPr>
          <w:lang w:val="en-US"/>
        </w:rPr>
        <w:t xml:space="preserve"> attracting further </w:t>
      </w:r>
      <w:r w:rsidR="00992C7E" w:rsidRPr="002B50F6">
        <w:rPr>
          <w:lang w:val="en-US"/>
        </w:rPr>
        <w:t>Returning</w:t>
      </w:r>
      <w:r w:rsidR="00D93ADC" w:rsidRPr="002B50F6">
        <w:rPr>
          <w:lang w:val="en-US"/>
        </w:rPr>
        <w:t xml:space="preserve"> Scholars</w:t>
      </w:r>
      <w:r w:rsidR="00C1084D" w:rsidRPr="002B50F6">
        <w:rPr>
          <w:lang w:val="en-US"/>
        </w:rPr>
        <w:t xml:space="preserve"> in subsequent academic years should </w:t>
      </w:r>
      <w:r w:rsidR="0040519D">
        <w:rPr>
          <w:lang w:val="en-US"/>
        </w:rPr>
        <w:t xml:space="preserve">have been </w:t>
      </w:r>
      <w:r w:rsidR="00FD18AE">
        <w:rPr>
          <w:lang w:val="en-US"/>
        </w:rPr>
        <w:t xml:space="preserve">more consistently </w:t>
      </w:r>
      <w:r w:rsidR="0040519D">
        <w:rPr>
          <w:lang w:val="en-US"/>
        </w:rPr>
        <w:t>implemented</w:t>
      </w:r>
      <w:r w:rsidR="00FD18AE">
        <w:rPr>
          <w:lang w:val="en-US"/>
        </w:rPr>
        <w:t>.</w:t>
      </w:r>
      <w:r w:rsidR="0040519D">
        <w:rPr>
          <w:lang w:val="en-US"/>
        </w:rPr>
        <w:t xml:space="preserve"> </w:t>
      </w:r>
    </w:p>
    <w:p w:rsidR="00D81A38" w:rsidRPr="0040519D" w:rsidRDefault="00631616" w:rsidP="007855C9">
      <w:pPr>
        <w:spacing w:line="240" w:lineRule="auto"/>
        <w:jc w:val="both"/>
        <w:rPr>
          <w:lang w:val="en-US"/>
        </w:rPr>
      </w:pPr>
      <w:r w:rsidRPr="00631616">
        <w:rPr>
          <w:lang w:val="en-US"/>
        </w:rPr>
        <w:t xml:space="preserve">In </w:t>
      </w:r>
      <w:r w:rsidR="00787571" w:rsidRPr="00271635">
        <w:rPr>
          <w:lang w:val="en-US"/>
        </w:rPr>
        <w:t xml:space="preserve">order for AFP support to be successful, Returning Scholars need to transition into full-time positions during their AFP-supported tenure and integrate further with the core faculty of the department. Returning Scholars who remain in part-time positions are less likely to become influential within their departments and exert a positive impact on administrative and academic processes. For example, a major reason for our success at the Faculty of Law at Baku State University was that four out of seven Returning Scholars had segued into full-time positions and had become core faculty. Conversely, a lack of Returning Scholar integration with the departmental faculty was at the core of our failure with the Department of Social Work at Azerbaijan State Economics University. Here Returning Scholars were indifferent to their full integration and commitment to the department and thus ended up having limited or no influence on departmental processes as outlined by the department in its initial plan. </w:t>
      </w:r>
      <w:r w:rsidR="00B15E15" w:rsidRPr="0040519D">
        <w:rPr>
          <w:lang w:val="en-US"/>
        </w:rPr>
        <w:t xml:space="preserve">As a rule, </w:t>
      </w:r>
      <w:r w:rsidR="00E8546F" w:rsidRPr="0040519D">
        <w:rPr>
          <w:lang w:val="en-US"/>
        </w:rPr>
        <w:t>engaging Returning Scholars</w:t>
      </w:r>
      <w:r w:rsidR="00C1084D" w:rsidRPr="0040519D">
        <w:rPr>
          <w:lang w:val="en-US"/>
        </w:rPr>
        <w:t xml:space="preserve"> as full-time faculty should </w:t>
      </w:r>
      <w:r w:rsidR="0040519D">
        <w:rPr>
          <w:lang w:val="en-US"/>
        </w:rPr>
        <w:t xml:space="preserve">have </w:t>
      </w:r>
      <w:r w:rsidR="00C1084D" w:rsidRPr="0040519D">
        <w:rPr>
          <w:lang w:val="en-US"/>
        </w:rPr>
        <w:t>be</w:t>
      </w:r>
      <w:r w:rsidR="0040519D">
        <w:rPr>
          <w:lang w:val="en-US"/>
        </w:rPr>
        <w:t>en</w:t>
      </w:r>
      <w:r w:rsidR="00C1084D" w:rsidRPr="0040519D">
        <w:rPr>
          <w:lang w:val="en-US"/>
        </w:rPr>
        <w:t xml:space="preserve"> a condition for renewing </w:t>
      </w:r>
      <w:r w:rsidR="00FD18AE">
        <w:rPr>
          <w:lang w:val="en-US"/>
        </w:rPr>
        <w:t xml:space="preserve">departmental </w:t>
      </w:r>
      <w:r w:rsidR="00C1084D" w:rsidRPr="0040519D">
        <w:rPr>
          <w:lang w:val="en-US"/>
        </w:rPr>
        <w:t xml:space="preserve">partnerships </w:t>
      </w:r>
      <w:r w:rsidR="00766884" w:rsidRPr="0040519D">
        <w:rPr>
          <w:lang w:val="en-US"/>
        </w:rPr>
        <w:t>after</w:t>
      </w:r>
      <w:r w:rsidR="00C1084D" w:rsidRPr="0040519D">
        <w:rPr>
          <w:lang w:val="en-US"/>
        </w:rPr>
        <w:t xml:space="preserve"> the </w:t>
      </w:r>
      <w:r w:rsidR="00E8546F" w:rsidRPr="0040519D">
        <w:rPr>
          <w:lang w:val="en-US"/>
        </w:rPr>
        <w:t>third or fourth</w:t>
      </w:r>
      <w:r w:rsidR="00C1084D" w:rsidRPr="0040519D">
        <w:rPr>
          <w:lang w:val="en-US"/>
        </w:rPr>
        <w:t xml:space="preserve"> consecutive academic year. </w:t>
      </w:r>
    </w:p>
    <w:p w:rsidR="00D81A38" w:rsidRDefault="00462227" w:rsidP="00DE6007">
      <w:pPr>
        <w:spacing w:line="240" w:lineRule="auto"/>
        <w:jc w:val="both"/>
        <w:rPr>
          <w:lang w:val="en-US"/>
        </w:rPr>
      </w:pPr>
      <w:r w:rsidRPr="00271635">
        <w:rPr>
          <w:b/>
          <w:lang w:val="en-US"/>
        </w:rPr>
        <w:t xml:space="preserve">Serious engagement with non-AFP faculty pays </w:t>
      </w:r>
      <w:r w:rsidR="00C142EE" w:rsidRPr="00271635">
        <w:rPr>
          <w:b/>
          <w:lang w:val="en-US"/>
        </w:rPr>
        <w:t>dividends</w:t>
      </w:r>
      <w:r w:rsidR="00137526" w:rsidRPr="00271635">
        <w:rPr>
          <w:b/>
          <w:lang w:val="en-US"/>
        </w:rPr>
        <w:t xml:space="preserve"> — and departmental leadership is </w:t>
      </w:r>
      <w:r w:rsidR="00F42F31" w:rsidRPr="00271635">
        <w:rPr>
          <w:b/>
          <w:lang w:val="en-US"/>
        </w:rPr>
        <w:t>vital</w:t>
      </w:r>
      <w:r w:rsidRPr="00271635">
        <w:rPr>
          <w:b/>
          <w:lang w:val="en-US"/>
        </w:rPr>
        <w:t>.</w:t>
      </w:r>
      <w:r w:rsidRPr="00271635">
        <w:rPr>
          <w:lang w:val="en-US"/>
        </w:rPr>
        <w:t xml:space="preserve"> By dint of its approach and design, non-AFP </w:t>
      </w:r>
      <w:r w:rsidR="009326D8" w:rsidRPr="00271635">
        <w:rPr>
          <w:lang w:val="en-US"/>
        </w:rPr>
        <w:t>faculty</w:t>
      </w:r>
      <w:r w:rsidR="00E45A6C" w:rsidRPr="00271635">
        <w:rPr>
          <w:lang w:val="en-US"/>
        </w:rPr>
        <w:t xml:space="preserve"> members</w:t>
      </w:r>
      <w:r w:rsidR="009326D8" w:rsidRPr="00271635">
        <w:rPr>
          <w:lang w:val="en-US"/>
        </w:rPr>
        <w:t xml:space="preserve"> often feel</w:t>
      </w:r>
      <w:r w:rsidRPr="00271635">
        <w:rPr>
          <w:lang w:val="en-US"/>
        </w:rPr>
        <w:t xml:space="preserve"> like they have </w:t>
      </w:r>
      <w:r w:rsidR="00C142EE" w:rsidRPr="00271635">
        <w:rPr>
          <w:lang w:val="en-US"/>
        </w:rPr>
        <w:t xml:space="preserve">a </w:t>
      </w:r>
      <w:r w:rsidRPr="00271635">
        <w:rPr>
          <w:lang w:val="en-US"/>
        </w:rPr>
        <w:t xml:space="preserve">limited stake in the outcomes of their department. To create an environment more conducive to reform processes, AFP should pay increased attention to the professional development of non-fellow faculty as well. </w:t>
      </w:r>
      <w:r w:rsidR="00C142EE" w:rsidRPr="00271635">
        <w:rPr>
          <w:lang w:val="en-US"/>
        </w:rPr>
        <w:t>AFP’s</w:t>
      </w:r>
      <w:r w:rsidR="00366C3F" w:rsidRPr="00271635">
        <w:rPr>
          <w:lang w:val="en-US"/>
        </w:rPr>
        <w:t xml:space="preserve"> most successful </w:t>
      </w:r>
      <w:r w:rsidR="00C142EE" w:rsidRPr="00271635">
        <w:rPr>
          <w:lang w:val="en-US"/>
        </w:rPr>
        <w:t>partners—</w:t>
      </w:r>
      <w:r w:rsidR="00366C3F" w:rsidRPr="00271635">
        <w:rPr>
          <w:lang w:val="en-US"/>
        </w:rPr>
        <w:t>such as the Department of World Economy and International Economic Relations at Odessa National University, the Gender Studies Program at Tbilisi State University, and the Department of Social and Cultural Anthropology at the National University of Mongolia</w:t>
      </w:r>
      <w:r w:rsidR="00F9335F" w:rsidRPr="00271635">
        <w:rPr>
          <w:lang w:val="en-US"/>
        </w:rPr>
        <w:t>—featured</w:t>
      </w:r>
      <w:r w:rsidR="00366C3F" w:rsidRPr="00271635">
        <w:rPr>
          <w:lang w:val="en-US"/>
        </w:rPr>
        <w:t xml:space="preserve"> teams of non-fellow faculty </w:t>
      </w:r>
      <w:r w:rsidR="00366C3F" w:rsidRPr="00FF6F71">
        <w:rPr>
          <w:lang w:val="en-US"/>
        </w:rPr>
        <w:t xml:space="preserve">members </w:t>
      </w:r>
      <w:r w:rsidR="00F9335F" w:rsidRPr="00FF6F71">
        <w:rPr>
          <w:lang w:val="en-US"/>
        </w:rPr>
        <w:t>that were</w:t>
      </w:r>
      <w:r w:rsidR="00366C3F" w:rsidRPr="00FF6F71">
        <w:rPr>
          <w:lang w:val="en-US"/>
        </w:rPr>
        <w:t xml:space="preserve"> mobilized and actively participated in AFP-led curric</w:t>
      </w:r>
      <w:r w:rsidR="00F9335F" w:rsidRPr="00FF6F71">
        <w:rPr>
          <w:lang w:val="en-US"/>
        </w:rPr>
        <w:t>ulum development projects</w:t>
      </w:r>
      <w:r w:rsidR="00DE05CE" w:rsidRPr="00FF6F71">
        <w:rPr>
          <w:lang w:val="en-US"/>
        </w:rPr>
        <w:t>—on their own accord without financial support from AFP</w:t>
      </w:r>
      <w:r w:rsidR="00366C3F" w:rsidRPr="00FF6F71">
        <w:rPr>
          <w:lang w:val="en-US"/>
        </w:rPr>
        <w:t>. A critical mass of such scholars—defined as enough people to significantly steer a department—is particularly important</w:t>
      </w:r>
      <w:r w:rsidR="007552DB" w:rsidRPr="00FF6F71">
        <w:rPr>
          <w:lang w:val="en-US"/>
        </w:rPr>
        <w:t>, especially since</w:t>
      </w:r>
      <w:r w:rsidR="00366C3F" w:rsidRPr="00FF6F71">
        <w:rPr>
          <w:lang w:val="en-US"/>
        </w:rPr>
        <w:t xml:space="preserve"> older faculty tend to perceive qualified junior academics as a threat to their authority</w:t>
      </w:r>
      <w:r w:rsidR="007552DB" w:rsidRPr="00FF6F71">
        <w:rPr>
          <w:lang w:val="en-US"/>
        </w:rPr>
        <w:t xml:space="preserve">, </w:t>
      </w:r>
      <w:r w:rsidR="00594E15" w:rsidRPr="00FF6F71">
        <w:rPr>
          <w:lang w:val="en-US"/>
        </w:rPr>
        <w:t>and</w:t>
      </w:r>
      <w:r w:rsidR="007552DB" w:rsidRPr="00FF6F71">
        <w:rPr>
          <w:lang w:val="en-US"/>
        </w:rPr>
        <w:t xml:space="preserve"> getting them better invested in the process helps attenuate such potential causes</w:t>
      </w:r>
      <w:r w:rsidR="00594E15" w:rsidRPr="00FF6F71">
        <w:rPr>
          <w:lang w:val="en-US"/>
        </w:rPr>
        <w:t xml:space="preserve"> of</w:t>
      </w:r>
      <w:r w:rsidR="007552DB" w:rsidRPr="00FF6F71">
        <w:rPr>
          <w:lang w:val="en-US"/>
        </w:rPr>
        <w:t xml:space="preserve"> friction</w:t>
      </w:r>
      <w:r w:rsidR="00366C3F" w:rsidRPr="00FF6F71">
        <w:rPr>
          <w:lang w:val="en-US"/>
        </w:rPr>
        <w:t>.</w:t>
      </w:r>
      <w:r w:rsidR="008D4111" w:rsidRPr="00FF6F71">
        <w:rPr>
          <w:lang w:val="en-US"/>
        </w:rPr>
        <w:t xml:space="preserve"> </w:t>
      </w:r>
      <w:r w:rsidR="008F5840" w:rsidRPr="00FF6F71">
        <w:rPr>
          <w:lang w:val="en-US"/>
        </w:rPr>
        <w:t xml:space="preserve">A divide between the conservative and progressive faculty was behind the failure story at the Department of Political Science at the National University of Kyiv-Mohyla Academy, for instance. The conservative faculty opposed the idea of electing a progressive head of the department with a Western education, choosing instead a senior conservative faculty member who blocked any changes. </w:t>
      </w:r>
      <w:r w:rsidR="004C5903" w:rsidRPr="00FF6F71">
        <w:rPr>
          <w:lang w:val="en-US"/>
        </w:rPr>
        <w:t xml:space="preserve">The lesson learned was that AFP should have withheld support </w:t>
      </w:r>
      <w:r w:rsidR="006F65DE" w:rsidRPr="00FF6F71">
        <w:rPr>
          <w:lang w:val="en-US"/>
        </w:rPr>
        <w:t xml:space="preserve">until after the election. </w:t>
      </w:r>
    </w:p>
    <w:p w:rsidR="00E476E1" w:rsidRDefault="00F42F31" w:rsidP="007855C9">
      <w:pPr>
        <w:tabs>
          <w:tab w:val="left" w:pos="0"/>
          <w:tab w:val="left" w:pos="270"/>
          <w:tab w:val="left" w:pos="4860"/>
        </w:tabs>
        <w:spacing w:line="240" w:lineRule="auto"/>
        <w:jc w:val="both"/>
        <w:rPr>
          <w:lang w:val="en-US"/>
        </w:rPr>
      </w:pPr>
      <w:r w:rsidRPr="00FF6F71">
        <w:rPr>
          <w:lang w:val="en-US"/>
        </w:rPr>
        <w:t>Departmental</w:t>
      </w:r>
      <w:r w:rsidR="008D4111" w:rsidRPr="00FF6F71">
        <w:rPr>
          <w:lang w:val="en-US"/>
        </w:rPr>
        <w:t xml:space="preserve"> leadership’s interest in building a strong, competitive department based on international standards is integral. AFP has had its most significant impact working with departments whose heads have had a strategic vision of departmental development, who recognize AFP as a tool for continuous institutional strengthening, who are proactive in curriculum reform endeavors, and who personally engage with AFP programmatic efforts. AFP has been particularly successful where its </w:t>
      </w:r>
      <w:r w:rsidR="006C2212" w:rsidRPr="00FF6F71">
        <w:rPr>
          <w:lang w:val="en-US"/>
        </w:rPr>
        <w:t xml:space="preserve">Returning Scholars </w:t>
      </w:r>
      <w:r w:rsidR="008D4111" w:rsidRPr="00FF6F71">
        <w:rPr>
          <w:lang w:val="en-US"/>
        </w:rPr>
        <w:t xml:space="preserve">have been </w:t>
      </w:r>
      <w:r w:rsidR="00BF6A7C" w:rsidRPr="00FF6F71">
        <w:rPr>
          <w:lang w:val="en-US"/>
        </w:rPr>
        <w:t>promoted to department heads or higher</w:t>
      </w:r>
      <w:r w:rsidR="008D4111" w:rsidRPr="00FF6F71">
        <w:rPr>
          <w:lang w:val="en-US"/>
        </w:rPr>
        <w:t xml:space="preserve">, as was the case at </w:t>
      </w:r>
      <w:r w:rsidR="008D4111" w:rsidRPr="00FF6F71">
        <w:rPr>
          <w:bCs/>
          <w:lang w:val="en-US"/>
        </w:rPr>
        <w:t>Odessa National University, the National University of Mongolia</w:t>
      </w:r>
      <w:r w:rsidR="008C435E" w:rsidRPr="00FF6F71">
        <w:rPr>
          <w:bCs/>
          <w:lang w:val="en-US"/>
        </w:rPr>
        <w:t xml:space="preserve"> and</w:t>
      </w:r>
      <w:r w:rsidR="008D4111" w:rsidRPr="00FF6F71">
        <w:rPr>
          <w:bCs/>
          <w:lang w:val="en-US"/>
        </w:rPr>
        <w:t xml:space="preserve"> Tbilisi State University</w:t>
      </w:r>
      <w:r w:rsidR="008D4111" w:rsidRPr="00FF6F71">
        <w:rPr>
          <w:lang w:val="en-US"/>
        </w:rPr>
        <w:t>. Fellows and alumni bring to the department head posts the academic qualifications, skills, and values they cultivated with AFP support, and they pursue reform-driven approaches while strategically deploying AFP to achieve departmental development goals.</w:t>
      </w:r>
      <w:r w:rsidR="008D4111" w:rsidRPr="00FF6F71" w:rsidDel="003F3738">
        <w:rPr>
          <w:lang w:val="en-US"/>
        </w:rPr>
        <w:t xml:space="preserve"> </w:t>
      </w:r>
      <w:r w:rsidR="00FD18AE">
        <w:rPr>
          <w:lang w:val="en-US"/>
        </w:rPr>
        <w:t xml:space="preserve">Despite their extensive academic experience, </w:t>
      </w:r>
      <w:r w:rsidR="00E476E1" w:rsidRPr="00F63798">
        <w:rPr>
          <w:lang w:val="en-US"/>
        </w:rPr>
        <w:t xml:space="preserve">Returning Scholars and </w:t>
      </w:r>
      <w:r w:rsidR="00E674F5">
        <w:rPr>
          <w:lang w:val="en-US"/>
        </w:rPr>
        <w:t xml:space="preserve">AFP </w:t>
      </w:r>
      <w:r w:rsidR="00E476E1" w:rsidRPr="00F63798">
        <w:rPr>
          <w:lang w:val="en-US"/>
        </w:rPr>
        <w:t>alumni have repeatedly stressed that it is important to offer them management and education administration trainings should they rise through the ranks to become department heads, faculty deans, and vice-rector. Offering relevant trainings to interested heads of partner departments (and not just fellows) should have been considered.</w:t>
      </w:r>
    </w:p>
    <w:p w:rsidR="00D81A38" w:rsidRDefault="00560404" w:rsidP="00DE6007">
      <w:pPr>
        <w:tabs>
          <w:tab w:val="left" w:pos="0"/>
          <w:tab w:val="left" w:pos="270"/>
          <w:tab w:val="left" w:pos="4860"/>
        </w:tabs>
        <w:spacing w:line="240" w:lineRule="auto"/>
        <w:jc w:val="both"/>
        <w:rPr>
          <w:lang w:val="en-US"/>
        </w:rPr>
      </w:pPr>
      <w:r w:rsidRPr="00FF6F71">
        <w:rPr>
          <w:b/>
          <w:lang w:val="en-US"/>
        </w:rPr>
        <w:t xml:space="preserve">International Scholar contributions </w:t>
      </w:r>
      <w:r w:rsidR="001025FF" w:rsidRPr="00FF6F71">
        <w:rPr>
          <w:b/>
          <w:lang w:val="en-US"/>
        </w:rPr>
        <w:t>have been indispensible</w:t>
      </w:r>
      <w:r w:rsidRPr="00FF6F71">
        <w:rPr>
          <w:lang w:val="en-US"/>
        </w:rPr>
        <w:t xml:space="preserve">. A major condition for success </w:t>
      </w:r>
      <w:r w:rsidR="00154E9F" w:rsidRPr="00FF6F71">
        <w:rPr>
          <w:lang w:val="en-US"/>
        </w:rPr>
        <w:t>has been</w:t>
      </w:r>
      <w:r w:rsidRPr="00FF6F71">
        <w:rPr>
          <w:lang w:val="en-US"/>
        </w:rPr>
        <w:t xml:space="preserve"> how effectively partner departments </w:t>
      </w:r>
      <w:r w:rsidR="00154E9F" w:rsidRPr="00FF6F71">
        <w:rPr>
          <w:lang w:val="en-US"/>
        </w:rPr>
        <w:t xml:space="preserve">have been in </w:t>
      </w:r>
      <w:r w:rsidRPr="00FF6F71">
        <w:rPr>
          <w:lang w:val="en-US"/>
        </w:rPr>
        <w:t>recruit</w:t>
      </w:r>
      <w:r w:rsidR="00154E9F" w:rsidRPr="00FF6F71">
        <w:rPr>
          <w:lang w:val="en-US"/>
        </w:rPr>
        <w:t>ing</w:t>
      </w:r>
      <w:r w:rsidRPr="00FF6F71">
        <w:rPr>
          <w:lang w:val="en-US"/>
        </w:rPr>
        <w:t xml:space="preserve"> and utiliz</w:t>
      </w:r>
      <w:r w:rsidR="00154E9F" w:rsidRPr="00FF6F71">
        <w:rPr>
          <w:lang w:val="en-US"/>
        </w:rPr>
        <w:t>ing</w:t>
      </w:r>
      <w:r w:rsidRPr="00FF6F71">
        <w:rPr>
          <w:lang w:val="en-US"/>
        </w:rPr>
        <w:t xml:space="preserve"> International Scholars. As recruitment is driven by departmental needs, it is critical that departments assess their academic development needs first, and then attempt to match those needs with appropriate</w:t>
      </w:r>
      <w:r w:rsidR="00AF685D" w:rsidRPr="00FF6F71">
        <w:rPr>
          <w:lang w:val="en-US"/>
        </w:rPr>
        <w:t xml:space="preserve"> candidates</w:t>
      </w:r>
      <w:r w:rsidRPr="00FF6F71">
        <w:rPr>
          <w:lang w:val="en-US"/>
        </w:rPr>
        <w:t xml:space="preserve">. Skilled International Scholars have effectively contributed to in-depth reviews of departmental curricula, course offerings, and research projects, and have advised on raising academic standards </w:t>
      </w:r>
      <w:r w:rsidR="00AF685D" w:rsidRPr="00FF6F71">
        <w:rPr>
          <w:lang w:val="en-US"/>
        </w:rPr>
        <w:t>across</w:t>
      </w:r>
      <w:r w:rsidRPr="00FF6F71">
        <w:rPr>
          <w:lang w:val="en-US"/>
        </w:rPr>
        <w:t xml:space="preserve"> all these components. International Scholars have also initiated, designed, and helped implement new degree programs at their host departments, as exemplified by the Department of Political Science at the University of Skopje, the Department of International Law at Baku State University, and the Department of Social and Cultural Anthropology at the National University of Mongolia. Conversely, where International Scholars have been underutilized, such as at the Department of International Economic Relations at Tajik National University, the Gender Studies Program at the University of Sarajevo, and the Department of Social Work at Azerbaijan State Economics University, </w:t>
      </w:r>
      <w:r w:rsidR="00AF685D" w:rsidRPr="00FF6F71">
        <w:rPr>
          <w:lang w:val="en-US"/>
        </w:rPr>
        <w:t>AFP</w:t>
      </w:r>
      <w:r w:rsidRPr="00FF6F71">
        <w:rPr>
          <w:lang w:val="en-US"/>
        </w:rPr>
        <w:t xml:space="preserve"> has tended to fail.</w:t>
      </w:r>
    </w:p>
    <w:p w:rsidR="00430A53" w:rsidRDefault="001D210D" w:rsidP="00DE6007">
      <w:pPr>
        <w:spacing w:line="240" w:lineRule="auto"/>
        <w:jc w:val="both"/>
        <w:rPr>
          <w:lang w:val="en-US"/>
        </w:rPr>
      </w:pPr>
      <w:r>
        <w:rPr>
          <w:lang w:val="en-US"/>
        </w:rPr>
        <w:t>As a consequence of a 2008</w:t>
      </w:r>
      <w:r w:rsidR="0065028E" w:rsidRPr="0065028E">
        <w:rPr>
          <w:lang w:val="en-US"/>
        </w:rPr>
        <w:t xml:space="preserve"> AFP staff decision, in addition to mentoring </w:t>
      </w:r>
      <w:r w:rsidR="006E67E6">
        <w:rPr>
          <w:lang w:val="en-US"/>
        </w:rPr>
        <w:t>their own assigned department</w:t>
      </w:r>
      <w:r w:rsidR="0065028E">
        <w:rPr>
          <w:lang w:val="en-US"/>
        </w:rPr>
        <w:t>,</w:t>
      </w:r>
      <w:r w:rsidR="0065028E" w:rsidRPr="0065028E">
        <w:rPr>
          <w:lang w:val="en-US"/>
        </w:rPr>
        <w:t xml:space="preserve"> International Scholar</w:t>
      </w:r>
      <w:r w:rsidR="0065028E">
        <w:rPr>
          <w:lang w:val="en-US"/>
        </w:rPr>
        <w:t xml:space="preserve">s </w:t>
      </w:r>
      <w:r w:rsidR="0065028E" w:rsidRPr="0065028E">
        <w:rPr>
          <w:lang w:val="en-US"/>
        </w:rPr>
        <w:t>provid</w:t>
      </w:r>
      <w:r w:rsidR="0065028E">
        <w:rPr>
          <w:lang w:val="en-US"/>
        </w:rPr>
        <w:t>e</w:t>
      </w:r>
      <w:r w:rsidR="0065028E" w:rsidRPr="0065028E">
        <w:rPr>
          <w:lang w:val="en-US"/>
        </w:rPr>
        <w:t xml:space="preserve"> comments on proposals submitted to the Professional Development Fund and </w:t>
      </w:r>
      <w:r w:rsidR="0032625B">
        <w:rPr>
          <w:lang w:val="en-US"/>
        </w:rPr>
        <w:t xml:space="preserve">the </w:t>
      </w:r>
      <w:r w:rsidR="0065028E" w:rsidRPr="0065028E">
        <w:rPr>
          <w:lang w:val="en-US"/>
        </w:rPr>
        <w:t>Departmental Development Fund schemes</w:t>
      </w:r>
      <w:r w:rsidR="006E67E6">
        <w:rPr>
          <w:lang w:val="en-US"/>
        </w:rPr>
        <w:t xml:space="preserve"> from </w:t>
      </w:r>
      <w:r w:rsidR="00B6691A">
        <w:rPr>
          <w:lang w:val="en-US"/>
        </w:rPr>
        <w:t>other</w:t>
      </w:r>
      <w:r w:rsidR="00794868">
        <w:rPr>
          <w:lang w:val="en-US"/>
        </w:rPr>
        <w:t xml:space="preserve"> departments</w:t>
      </w:r>
      <w:r w:rsidR="0065028E" w:rsidRPr="0065028E">
        <w:rPr>
          <w:lang w:val="en-US"/>
        </w:rPr>
        <w:t>. International Scholar feedback then serve</w:t>
      </w:r>
      <w:r w:rsidR="00FD18AE">
        <w:rPr>
          <w:lang w:val="en-US"/>
        </w:rPr>
        <w:t>s</w:t>
      </w:r>
      <w:r w:rsidR="0065028E" w:rsidRPr="0065028E">
        <w:rPr>
          <w:lang w:val="en-US"/>
        </w:rPr>
        <w:t xml:space="preserve"> as a basis for staff to make well-informed decisions on application submissions. This modification was a significant shift from earlier practice when </w:t>
      </w:r>
      <w:r w:rsidR="00A66F41">
        <w:rPr>
          <w:lang w:val="en-US"/>
        </w:rPr>
        <w:t xml:space="preserve">HESP </w:t>
      </w:r>
      <w:r w:rsidR="0065028E" w:rsidRPr="0065028E">
        <w:rPr>
          <w:lang w:val="en-US"/>
        </w:rPr>
        <w:t xml:space="preserve">staff had made such decisions </w:t>
      </w:r>
      <w:r w:rsidR="0032625B">
        <w:rPr>
          <w:lang w:val="en-US"/>
        </w:rPr>
        <w:t>without expert guidance</w:t>
      </w:r>
      <w:r w:rsidR="0065028E" w:rsidRPr="00F63798">
        <w:rPr>
          <w:lang w:val="en-US"/>
        </w:rPr>
        <w:t>.</w:t>
      </w:r>
      <w:r w:rsidR="0054370A" w:rsidRPr="00F63798">
        <w:rPr>
          <w:lang w:val="en-US"/>
        </w:rPr>
        <w:t xml:space="preserve"> </w:t>
      </w:r>
      <w:r w:rsidR="00EE312B" w:rsidRPr="00F63798">
        <w:rPr>
          <w:lang w:val="en-US"/>
        </w:rPr>
        <w:t>This practice should be</w:t>
      </w:r>
      <w:r w:rsidR="00A611A7" w:rsidRPr="00F63798">
        <w:rPr>
          <w:lang w:val="en-US"/>
        </w:rPr>
        <w:t xml:space="preserve"> augmented. </w:t>
      </w:r>
      <w:r w:rsidR="00EE312B" w:rsidRPr="00F63798">
        <w:rPr>
          <w:lang w:val="en-US"/>
        </w:rPr>
        <w:t xml:space="preserve"> International Scholars (</w:t>
      </w:r>
      <w:r w:rsidR="00A611A7" w:rsidRPr="00F63798">
        <w:rPr>
          <w:lang w:val="en-US"/>
        </w:rPr>
        <w:t>other than those</w:t>
      </w:r>
      <w:r w:rsidR="00EE312B" w:rsidRPr="00F63798">
        <w:rPr>
          <w:lang w:val="en-US"/>
        </w:rPr>
        <w:t xml:space="preserve"> hosted by the departments) </w:t>
      </w:r>
      <w:r w:rsidR="00A611A7" w:rsidRPr="00F63798">
        <w:rPr>
          <w:lang w:val="en-US"/>
        </w:rPr>
        <w:t xml:space="preserve">could be deployed to undertake </w:t>
      </w:r>
      <w:r w:rsidR="00EE312B" w:rsidRPr="00F63798">
        <w:rPr>
          <w:lang w:val="en-US"/>
        </w:rPr>
        <w:t>state</w:t>
      </w:r>
      <w:r w:rsidR="00A611A7" w:rsidRPr="00F63798">
        <w:rPr>
          <w:lang w:val="en-US"/>
        </w:rPr>
        <w:t>-</w:t>
      </w:r>
      <w:r w:rsidR="00EE312B" w:rsidRPr="00F63798">
        <w:rPr>
          <w:lang w:val="en-US"/>
        </w:rPr>
        <w:t>of</w:t>
      </w:r>
      <w:r w:rsidR="00A611A7" w:rsidRPr="00F63798">
        <w:rPr>
          <w:lang w:val="en-US"/>
        </w:rPr>
        <w:t>-</w:t>
      </w:r>
      <w:r w:rsidR="00EE312B" w:rsidRPr="00F63798">
        <w:rPr>
          <w:lang w:val="en-US"/>
        </w:rPr>
        <w:t>the</w:t>
      </w:r>
      <w:r w:rsidR="00A611A7" w:rsidRPr="00F63798">
        <w:rPr>
          <w:lang w:val="en-US"/>
        </w:rPr>
        <w:t>-</w:t>
      </w:r>
      <w:r w:rsidR="00EE312B" w:rsidRPr="00F63798">
        <w:rPr>
          <w:lang w:val="en-US"/>
        </w:rPr>
        <w:t>art</w:t>
      </w:r>
      <w:r w:rsidR="0054370A" w:rsidRPr="00F63798">
        <w:rPr>
          <w:lang w:val="en-US"/>
        </w:rPr>
        <w:t xml:space="preserve"> </w:t>
      </w:r>
      <w:r w:rsidR="00A611A7" w:rsidRPr="00F63798">
        <w:rPr>
          <w:lang w:val="en-US"/>
        </w:rPr>
        <w:t xml:space="preserve">baseline and </w:t>
      </w:r>
      <w:r w:rsidR="0054370A" w:rsidRPr="00F63798">
        <w:rPr>
          <w:lang w:val="en-US"/>
        </w:rPr>
        <w:t>benchmark</w:t>
      </w:r>
      <w:r w:rsidR="00A611A7" w:rsidRPr="00F63798">
        <w:rPr>
          <w:lang w:val="en-US"/>
        </w:rPr>
        <w:t>ing assessments</w:t>
      </w:r>
      <w:r w:rsidR="00F63798" w:rsidRPr="00F63798">
        <w:rPr>
          <w:lang w:val="en-US"/>
        </w:rPr>
        <w:t xml:space="preserve"> and performance evaluations.</w:t>
      </w:r>
      <w:r w:rsidR="00430A53">
        <w:rPr>
          <w:lang w:val="en-US"/>
        </w:rPr>
        <w:t xml:space="preserve"> </w:t>
      </w:r>
    </w:p>
    <w:p w:rsidR="00430A53" w:rsidRDefault="00260372" w:rsidP="007855C9">
      <w:pPr>
        <w:tabs>
          <w:tab w:val="left" w:pos="270"/>
        </w:tabs>
        <w:spacing w:line="240" w:lineRule="auto"/>
        <w:jc w:val="both"/>
        <w:rPr>
          <w:lang w:val="en-US"/>
        </w:rPr>
      </w:pPr>
      <w:r w:rsidRPr="00C95282">
        <w:rPr>
          <w:lang w:val="en-US"/>
        </w:rPr>
        <w:t xml:space="preserve">Another lesson learned is that it is vital to elaborate a detailed work plan for </w:t>
      </w:r>
      <w:r w:rsidR="00A66F41">
        <w:rPr>
          <w:lang w:val="en-US"/>
        </w:rPr>
        <w:t>each</w:t>
      </w:r>
      <w:r w:rsidR="00A66F41" w:rsidRPr="00C95282">
        <w:rPr>
          <w:lang w:val="en-US"/>
        </w:rPr>
        <w:t xml:space="preserve"> </w:t>
      </w:r>
      <w:r w:rsidRPr="00C95282">
        <w:rPr>
          <w:lang w:val="en-US"/>
        </w:rPr>
        <w:t xml:space="preserve">International Scholar before the start of the academic year, outlining specific tasks to be accomplished. </w:t>
      </w:r>
    </w:p>
    <w:p w:rsidR="007855C9" w:rsidRDefault="001E4283" w:rsidP="007855C9">
      <w:pPr>
        <w:spacing w:line="240" w:lineRule="auto"/>
        <w:jc w:val="both"/>
        <w:rPr>
          <w:lang w:val="en-US"/>
        </w:rPr>
      </w:pPr>
      <w:r>
        <w:rPr>
          <w:b/>
          <w:lang w:val="en-US"/>
        </w:rPr>
        <w:t>Requiring Returning Scholars to hold or obtain PhDs was</w:t>
      </w:r>
      <w:r w:rsidR="00636F91">
        <w:rPr>
          <w:b/>
          <w:lang w:val="en-US"/>
        </w:rPr>
        <w:t xml:space="preserve"> crucial</w:t>
      </w:r>
      <w:r w:rsidR="0040519D">
        <w:rPr>
          <w:b/>
          <w:lang w:val="en-US"/>
        </w:rPr>
        <w:t xml:space="preserve">. </w:t>
      </w:r>
      <w:r w:rsidR="00C34B4A" w:rsidRPr="00C95282">
        <w:rPr>
          <w:lang w:val="en-US"/>
        </w:rPr>
        <w:t>In order to better integrate and strengthen junior Returning Scholar positions</w:t>
      </w:r>
      <w:r w:rsidR="00A66F41">
        <w:rPr>
          <w:lang w:val="en-US"/>
        </w:rPr>
        <w:t>,</w:t>
      </w:r>
      <w:r w:rsidR="00CB34C0" w:rsidRPr="00C95282">
        <w:rPr>
          <w:lang w:val="en-US"/>
        </w:rPr>
        <w:t xml:space="preserve"> </w:t>
      </w:r>
      <w:r w:rsidR="00C34B4A" w:rsidRPr="00C95282">
        <w:rPr>
          <w:lang w:val="en-US"/>
        </w:rPr>
        <w:t>AFP made it compulsory in 2007 for all Returning Scholars with MA degrees to enroll in a PhD program during their first fellowship year. In 2008, AFP also instituted the differentiation of stipends for MA (EUR 4,000 per year) and PhD holders (EUR 5,000 per year).</w:t>
      </w:r>
      <w:r w:rsidR="00CB34C0" w:rsidRPr="00C95282">
        <w:rPr>
          <w:lang w:val="en-US"/>
        </w:rPr>
        <w:t xml:space="preserve"> </w:t>
      </w:r>
      <w:r w:rsidR="00475E17" w:rsidRPr="00C95282">
        <w:rPr>
          <w:lang w:val="en-US"/>
        </w:rPr>
        <w:t xml:space="preserve">Enrollment and eventual completion of a </w:t>
      </w:r>
      <w:r w:rsidR="00B66F05">
        <w:rPr>
          <w:lang w:val="en-US"/>
        </w:rPr>
        <w:t xml:space="preserve">good </w:t>
      </w:r>
      <w:r w:rsidR="00475E17" w:rsidRPr="00C95282">
        <w:rPr>
          <w:lang w:val="en-US"/>
        </w:rPr>
        <w:t xml:space="preserve">PhD program </w:t>
      </w:r>
      <w:r w:rsidR="00DD12F7" w:rsidRPr="00C95282">
        <w:rPr>
          <w:lang w:val="en-US"/>
        </w:rPr>
        <w:t>leads</w:t>
      </w:r>
      <w:r w:rsidR="00475E17" w:rsidRPr="00C95282">
        <w:rPr>
          <w:lang w:val="en-US"/>
        </w:rPr>
        <w:t xml:space="preserve"> to improved academic skills, increased competence in a discipline</w:t>
      </w:r>
      <w:r w:rsidR="00B66F05">
        <w:rPr>
          <w:lang w:val="en-US"/>
        </w:rPr>
        <w:t xml:space="preserve"> and better ability to design and teach courses. Moreover, in this region where universities are rigid hierarchies, it also</w:t>
      </w:r>
      <w:r w:rsidR="00475E17" w:rsidRPr="00C95282">
        <w:rPr>
          <w:lang w:val="en-US"/>
        </w:rPr>
        <w:t xml:space="preserve"> </w:t>
      </w:r>
      <w:r w:rsidR="00B66F05">
        <w:rPr>
          <w:lang w:val="en-US"/>
        </w:rPr>
        <w:t xml:space="preserve">serves for </w:t>
      </w:r>
      <w:r w:rsidR="00475E17" w:rsidRPr="00C95282">
        <w:rPr>
          <w:lang w:val="en-US"/>
        </w:rPr>
        <w:t>better integration with the core faculty of the department</w:t>
      </w:r>
      <w:r w:rsidR="00B66F05">
        <w:rPr>
          <w:lang w:val="en-US"/>
        </w:rPr>
        <w:t xml:space="preserve"> and </w:t>
      </w:r>
      <w:r w:rsidR="00475E17" w:rsidRPr="00C95282">
        <w:rPr>
          <w:lang w:val="en-US"/>
        </w:rPr>
        <w:t>leads to academic promotions to the associate and full professor ranks</w:t>
      </w:r>
      <w:r w:rsidR="00B66F05">
        <w:rPr>
          <w:lang w:val="en-US"/>
        </w:rPr>
        <w:t>. This furthermore allows</w:t>
      </w:r>
      <w:r w:rsidR="00475E17" w:rsidRPr="00C95282">
        <w:rPr>
          <w:lang w:val="en-US"/>
        </w:rPr>
        <w:t xml:space="preserve"> Returning Scholars to design and offer new courses at the MA and PhD levels, thus strengthening AFP-supported programs</w:t>
      </w:r>
      <w:r w:rsidR="00475E17" w:rsidRPr="006354CE">
        <w:rPr>
          <w:lang w:val="en-US"/>
        </w:rPr>
        <w:t>.</w:t>
      </w:r>
      <w:r w:rsidR="00A75081" w:rsidRPr="006354CE">
        <w:rPr>
          <w:lang w:val="en-US"/>
        </w:rPr>
        <w:t xml:space="preserve"> </w:t>
      </w:r>
    </w:p>
    <w:p w:rsidR="00817C62" w:rsidRDefault="00F90DDB" w:rsidP="00817C62">
      <w:pPr>
        <w:spacing w:line="240" w:lineRule="auto"/>
        <w:jc w:val="both"/>
        <w:rPr>
          <w:lang w:val="en-US"/>
        </w:rPr>
      </w:pPr>
      <w:r>
        <w:rPr>
          <w:b/>
          <w:lang w:val="en-US"/>
        </w:rPr>
        <w:t>The Program should have involved its</w:t>
      </w:r>
      <w:r w:rsidR="00475E17" w:rsidRPr="00430A53">
        <w:rPr>
          <w:b/>
          <w:lang w:val="en-US"/>
        </w:rPr>
        <w:t xml:space="preserve"> </w:t>
      </w:r>
      <w:r w:rsidR="00D86972" w:rsidRPr="00430A53">
        <w:rPr>
          <w:b/>
          <w:lang w:val="en-US"/>
        </w:rPr>
        <w:t>a</w:t>
      </w:r>
      <w:r w:rsidR="00475E17" w:rsidRPr="00430A53">
        <w:rPr>
          <w:b/>
          <w:lang w:val="en-US"/>
        </w:rPr>
        <w:t>lumni</w:t>
      </w:r>
      <w:r>
        <w:rPr>
          <w:b/>
          <w:lang w:val="en-US"/>
        </w:rPr>
        <w:t xml:space="preserve"> more actively</w:t>
      </w:r>
      <w:r w:rsidR="00475E17" w:rsidRPr="00430A53">
        <w:rPr>
          <w:lang w:val="en-US"/>
        </w:rPr>
        <w:t>. Returning Scholars have not only remained in academia after their AFP</w:t>
      </w:r>
      <w:r w:rsidR="00F9624E">
        <w:rPr>
          <w:lang w:val="en-US"/>
        </w:rPr>
        <w:t xml:space="preserve"> </w:t>
      </w:r>
      <w:r w:rsidR="00475E17" w:rsidRPr="00430A53">
        <w:rPr>
          <w:lang w:val="en-US"/>
        </w:rPr>
        <w:t xml:space="preserve">tenure </w:t>
      </w:r>
      <w:r w:rsidR="00856073" w:rsidRPr="00430A53">
        <w:rPr>
          <w:lang w:val="en-US"/>
        </w:rPr>
        <w:t xml:space="preserve">has </w:t>
      </w:r>
      <w:r w:rsidR="00475E17" w:rsidRPr="00430A53">
        <w:rPr>
          <w:lang w:val="en-US"/>
        </w:rPr>
        <w:t>conclude</w:t>
      </w:r>
      <w:r w:rsidR="00856073" w:rsidRPr="00430A53">
        <w:rPr>
          <w:lang w:val="en-US"/>
        </w:rPr>
        <w:t>d</w:t>
      </w:r>
      <w:r w:rsidR="00475E17" w:rsidRPr="00430A53">
        <w:rPr>
          <w:lang w:val="en-US"/>
        </w:rPr>
        <w:t xml:space="preserve">, but have often been instrumental in furthering reform processes in their departments. </w:t>
      </w:r>
      <w:r w:rsidR="000C7D41" w:rsidRPr="00430A53">
        <w:rPr>
          <w:lang w:val="en-US"/>
        </w:rPr>
        <w:t>Roughly 50 percent of</w:t>
      </w:r>
      <w:r w:rsidR="00475E17" w:rsidRPr="00430A53">
        <w:rPr>
          <w:lang w:val="en-US"/>
        </w:rPr>
        <w:t xml:space="preserve"> </w:t>
      </w:r>
      <w:r w:rsidR="00701E5B">
        <w:rPr>
          <w:lang w:val="en-US"/>
        </w:rPr>
        <w:t xml:space="preserve">Returning Scholar </w:t>
      </w:r>
      <w:r w:rsidR="00475E17" w:rsidRPr="00430A53">
        <w:rPr>
          <w:lang w:val="en-US"/>
        </w:rPr>
        <w:t>alumni</w:t>
      </w:r>
      <w:r w:rsidR="00701E5B">
        <w:rPr>
          <w:lang w:val="en-US"/>
        </w:rPr>
        <w:t xml:space="preserve"> at the 14 selected departments</w:t>
      </w:r>
      <w:r>
        <w:rPr>
          <w:lang w:val="en-US"/>
        </w:rPr>
        <w:t xml:space="preserve"> remained at their departments after the completion of the program. Almost all</w:t>
      </w:r>
      <w:r w:rsidR="00475E17" w:rsidRPr="00430A53">
        <w:rPr>
          <w:lang w:val="en-US"/>
        </w:rPr>
        <w:t xml:space="preserve"> have solidified their positions by defending their PhDs</w:t>
      </w:r>
      <w:r>
        <w:rPr>
          <w:lang w:val="en-US"/>
        </w:rPr>
        <w:t xml:space="preserve">. Many have </w:t>
      </w:r>
      <w:r w:rsidR="00856073" w:rsidRPr="00430A53">
        <w:rPr>
          <w:lang w:val="en-US"/>
        </w:rPr>
        <w:t>becom</w:t>
      </w:r>
      <w:r>
        <w:rPr>
          <w:lang w:val="en-US"/>
        </w:rPr>
        <w:t>e</w:t>
      </w:r>
      <w:r w:rsidR="00475E17" w:rsidRPr="00430A53">
        <w:rPr>
          <w:lang w:val="en-US"/>
        </w:rPr>
        <w:t xml:space="preserve"> employed full-time</w:t>
      </w:r>
      <w:r>
        <w:rPr>
          <w:lang w:val="en-US"/>
        </w:rPr>
        <w:t xml:space="preserve"> or achieved status of a </w:t>
      </w:r>
      <w:r w:rsidR="00475E17" w:rsidRPr="00430A53">
        <w:rPr>
          <w:lang w:val="en-US"/>
        </w:rPr>
        <w:t>core faculty member</w:t>
      </w:r>
      <w:r>
        <w:rPr>
          <w:lang w:val="en-US"/>
        </w:rPr>
        <w:t>.</w:t>
      </w:r>
      <w:r w:rsidR="00475E17" w:rsidRPr="00430A53">
        <w:rPr>
          <w:lang w:val="en-US"/>
        </w:rPr>
        <w:t xml:space="preserve"> </w:t>
      </w:r>
      <w:r>
        <w:rPr>
          <w:lang w:val="en-US"/>
        </w:rPr>
        <w:t>Some were</w:t>
      </w:r>
      <w:r w:rsidR="00475E17" w:rsidRPr="00430A53">
        <w:rPr>
          <w:lang w:val="en-US"/>
        </w:rPr>
        <w:t xml:space="preserve"> promoted to higher academic and administrative positions. As alumni are key players in departmental reforms, their continuous engagement with program activities (even after their financial relationship with AFP ceases) is of </w:t>
      </w:r>
      <w:r w:rsidR="00856073" w:rsidRPr="00430A53">
        <w:rPr>
          <w:lang w:val="en-US"/>
        </w:rPr>
        <w:t>great importance</w:t>
      </w:r>
      <w:r w:rsidR="00475E17" w:rsidRPr="00430A53">
        <w:rPr>
          <w:lang w:val="en-US"/>
        </w:rPr>
        <w:t xml:space="preserve">. </w:t>
      </w:r>
      <w:r w:rsidR="00996165" w:rsidRPr="00430A53">
        <w:rPr>
          <w:lang w:val="en-US"/>
        </w:rPr>
        <w:t>That said, AFP failed to design concrete tools to foster systematic alumni involvement in its work</w:t>
      </w:r>
      <w:r w:rsidR="000C7D41" w:rsidRPr="00430A53">
        <w:rPr>
          <w:lang w:val="en-US"/>
        </w:rPr>
        <w:t xml:space="preserve">, as was envisaged </w:t>
      </w:r>
      <w:r w:rsidR="00A0518B">
        <w:rPr>
          <w:lang w:val="en-US"/>
        </w:rPr>
        <w:t xml:space="preserve">in </w:t>
      </w:r>
      <w:r w:rsidR="000C7D41" w:rsidRPr="00430A53">
        <w:rPr>
          <w:lang w:val="en-US"/>
        </w:rPr>
        <w:t>the program’s initial strategy</w:t>
      </w:r>
      <w:r w:rsidR="00996165" w:rsidRPr="00430A53">
        <w:rPr>
          <w:lang w:val="en-US"/>
        </w:rPr>
        <w:t xml:space="preserve">. </w:t>
      </w:r>
      <w:r w:rsidR="00DC2EFB">
        <w:rPr>
          <w:lang w:val="en-US"/>
        </w:rPr>
        <w:t>In addition to using some of them as co-facilitators of discipline groups, the program could have continuously used them as mentors to active junior Returning Scholars</w:t>
      </w:r>
      <w:r w:rsidR="000B35E8" w:rsidRPr="00430A53">
        <w:rPr>
          <w:lang w:val="en-US"/>
        </w:rPr>
        <w:t>.</w:t>
      </w:r>
    </w:p>
    <w:p w:rsidR="00FC2C1A" w:rsidRDefault="00FC2C1A" w:rsidP="00F95983">
      <w:pPr>
        <w:spacing w:line="240" w:lineRule="auto"/>
        <w:jc w:val="both"/>
        <w:rPr>
          <w:lang w:val="en-US"/>
        </w:rPr>
      </w:pPr>
      <w:r>
        <w:rPr>
          <w:lang w:val="en-US"/>
        </w:rPr>
        <w:t xml:space="preserve">In sum, </w:t>
      </w:r>
      <w:r w:rsidR="007213B3">
        <w:rPr>
          <w:lang w:val="en-US"/>
        </w:rPr>
        <w:t xml:space="preserve">through AFP’s successes and failures it has internalized a tremendous amount </w:t>
      </w:r>
      <w:r w:rsidR="00BA001F">
        <w:rPr>
          <w:lang w:val="en-US"/>
        </w:rPr>
        <w:t xml:space="preserve">of </w:t>
      </w:r>
      <w:r w:rsidR="00364DD1">
        <w:rPr>
          <w:lang w:val="en-US"/>
        </w:rPr>
        <w:t>insights</w:t>
      </w:r>
      <w:r w:rsidR="00BA001F">
        <w:rPr>
          <w:lang w:val="en-US"/>
        </w:rPr>
        <w:t xml:space="preserve"> that should be</w:t>
      </w:r>
      <w:r w:rsidR="007213B3">
        <w:rPr>
          <w:lang w:val="en-US"/>
        </w:rPr>
        <w:t>nefit HESP</w:t>
      </w:r>
      <w:r w:rsidR="00BA001F">
        <w:rPr>
          <w:lang w:val="en-US"/>
        </w:rPr>
        <w:t>, the broader OSF network and other partners working in the field of hi</w:t>
      </w:r>
      <w:r w:rsidR="00F95983">
        <w:rPr>
          <w:lang w:val="en-US"/>
        </w:rPr>
        <w:t>gher education reform. The HESP</w:t>
      </w:r>
      <w:r w:rsidR="00BA001F">
        <w:rPr>
          <w:lang w:val="en-US"/>
        </w:rPr>
        <w:t xml:space="preserve"> team aspires to make the most of this compendium of knowledge to </w:t>
      </w:r>
      <w:r w:rsidR="00364DD1">
        <w:rPr>
          <w:lang w:val="en-US"/>
        </w:rPr>
        <w:t xml:space="preserve">ensure </w:t>
      </w:r>
      <w:r w:rsidR="00F95983">
        <w:rPr>
          <w:lang w:val="en-US"/>
        </w:rPr>
        <w:t>it helps inform and inspire those committed to its mission.</w:t>
      </w:r>
    </w:p>
    <w:p w:rsidR="004E08EF" w:rsidRPr="007A3048" w:rsidRDefault="002E09F6" w:rsidP="00F42F31">
      <w:pPr>
        <w:spacing w:line="240" w:lineRule="auto"/>
        <w:jc w:val="center"/>
        <w:rPr>
          <w:lang w:val="en-US"/>
        </w:rPr>
      </w:pPr>
      <w:r>
        <w:rPr>
          <w:lang w:val="en-US"/>
        </w:rPr>
        <w:t>***</w:t>
      </w:r>
    </w:p>
    <w:sectPr w:rsidR="004E08EF" w:rsidRPr="007A3048" w:rsidSect="003578B3">
      <w:footerReference w:type="default" r:id="rId12"/>
      <w:pgSz w:w="11906" w:h="16838"/>
      <w:pgMar w:top="850" w:right="864" w:bottom="850" w:left="1152" w:header="706" w:footer="70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B42A1" w:rsidRDefault="006B42A1" w:rsidP="00B57244">
      <w:pPr>
        <w:spacing w:after="0" w:line="240" w:lineRule="auto"/>
      </w:pPr>
      <w:r>
        <w:separator/>
      </w:r>
    </w:p>
  </w:endnote>
  <w:endnote w:type="continuationSeparator" w:id="0">
    <w:p w:rsidR="006B42A1" w:rsidRDefault="006B42A1" w:rsidP="00B572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1188" w:rsidRDefault="00DD4C41">
    <w:pPr>
      <w:pStyle w:val="Footer"/>
      <w:jc w:val="right"/>
    </w:pPr>
    <w:r>
      <w:fldChar w:fldCharType="begin"/>
    </w:r>
    <w:r>
      <w:instrText xml:space="preserve"> PAGE   \* MERGEFORMAT </w:instrText>
    </w:r>
    <w:r>
      <w:fldChar w:fldCharType="separate"/>
    </w:r>
    <w:r w:rsidR="00061FC9">
      <w:rPr>
        <w:noProof/>
      </w:rPr>
      <w:t>1</w:t>
    </w:r>
    <w:r>
      <w:rPr>
        <w:noProof/>
      </w:rPr>
      <w:fldChar w:fldCharType="end"/>
    </w:r>
  </w:p>
  <w:p w:rsidR="007B1188" w:rsidRDefault="007B118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B42A1" w:rsidRDefault="006B42A1" w:rsidP="00B57244">
      <w:pPr>
        <w:spacing w:after="0" w:line="240" w:lineRule="auto"/>
      </w:pPr>
      <w:r>
        <w:separator/>
      </w:r>
    </w:p>
  </w:footnote>
  <w:footnote w:type="continuationSeparator" w:id="0">
    <w:p w:rsidR="006B42A1" w:rsidRDefault="006B42A1" w:rsidP="00B57244">
      <w:pPr>
        <w:spacing w:after="0" w:line="240" w:lineRule="auto"/>
      </w:pPr>
      <w:r>
        <w:continuationSeparator/>
      </w:r>
    </w:p>
  </w:footnote>
  <w:footnote w:id="1">
    <w:p w:rsidR="00A153C2" w:rsidRDefault="00A153C2">
      <w:pPr>
        <w:pStyle w:val="FootnoteText"/>
      </w:pPr>
      <w:r>
        <w:rPr>
          <w:rStyle w:val="FootnoteReference"/>
        </w:rPr>
        <w:footnoteRef/>
      </w:r>
      <w:r>
        <w:t xml:space="preserve"> Support to departments at Palestinian universities is not part of this portfolio review.</w:t>
      </w:r>
    </w:p>
  </w:footnote>
  <w:footnote w:id="2">
    <w:p w:rsidR="007B1188" w:rsidRDefault="007B1188">
      <w:pPr>
        <w:pStyle w:val="FootnoteText"/>
      </w:pPr>
      <w:r w:rsidRPr="00D30361">
        <w:rPr>
          <w:rStyle w:val="FootnoteReference"/>
          <w:sz w:val="18"/>
          <w:szCs w:val="18"/>
        </w:rPr>
        <w:footnoteRef/>
      </w:r>
      <w:r w:rsidRPr="00D30361">
        <w:rPr>
          <w:sz w:val="18"/>
          <w:szCs w:val="18"/>
        </w:rPr>
        <w:t xml:space="preserve"> In 2009 the program </w:t>
      </w:r>
      <w:r>
        <w:rPr>
          <w:sz w:val="18"/>
          <w:szCs w:val="18"/>
        </w:rPr>
        <w:t>limited</w:t>
      </w:r>
      <w:r w:rsidRPr="00D30361">
        <w:rPr>
          <w:sz w:val="18"/>
          <w:szCs w:val="18"/>
        </w:rPr>
        <w:t xml:space="preserve"> the maximum period </w:t>
      </w:r>
      <w:r>
        <w:rPr>
          <w:sz w:val="18"/>
          <w:szCs w:val="18"/>
        </w:rPr>
        <w:t>for</w:t>
      </w:r>
      <w:r w:rsidRPr="00D30361">
        <w:rPr>
          <w:sz w:val="18"/>
          <w:szCs w:val="18"/>
        </w:rPr>
        <w:t xml:space="preserve"> R</w:t>
      </w:r>
      <w:r>
        <w:rPr>
          <w:sz w:val="18"/>
          <w:szCs w:val="18"/>
        </w:rPr>
        <w:t>eturning Scholar</w:t>
      </w:r>
      <w:r w:rsidRPr="00D30361">
        <w:rPr>
          <w:sz w:val="18"/>
          <w:szCs w:val="18"/>
        </w:rPr>
        <w:t xml:space="preserve"> fellowship support</w:t>
      </w:r>
      <w:r>
        <w:rPr>
          <w:sz w:val="18"/>
          <w:szCs w:val="18"/>
        </w:rPr>
        <w:t xml:space="preserve"> to a cumulative 6 years</w:t>
      </w:r>
      <w:r w:rsidR="00217352">
        <w:rPr>
          <w:sz w:val="18"/>
          <w:szCs w:val="18"/>
        </w:rPr>
        <w:t>.</w:t>
      </w:r>
    </w:p>
  </w:footnote>
  <w:footnote w:id="3">
    <w:p w:rsidR="00B61698" w:rsidRDefault="00B61698" w:rsidP="00B61698">
      <w:pPr>
        <w:pStyle w:val="FootnoteText"/>
      </w:pPr>
      <w:r w:rsidRPr="00446093">
        <w:rPr>
          <w:rStyle w:val="FootnoteReference"/>
        </w:rPr>
        <w:footnoteRef/>
      </w:r>
      <w:r w:rsidRPr="00446093">
        <w:t xml:space="preserve"> T</w:t>
      </w:r>
      <w:r w:rsidRPr="00446093">
        <w:rPr>
          <w:sz w:val="18"/>
          <w:szCs w:val="18"/>
        </w:rPr>
        <w:t>o ensure geographic balance and the most representative examples the Central Office filtered this number down from 24 to 14. In total this covers the work of some 82 Returning and 32 International Scholars.</w:t>
      </w:r>
      <w:r>
        <w:rPr>
          <w:sz w:val="18"/>
          <w:szCs w:val="18"/>
        </w:rPr>
        <w:t xml:space="preserve"> </w:t>
      </w:r>
    </w:p>
  </w:footnote>
  <w:footnote w:id="4">
    <w:p w:rsidR="00B61698" w:rsidRPr="00D30361" w:rsidRDefault="00B61698" w:rsidP="00B61698">
      <w:pPr>
        <w:pStyle w:val="FootnoteText"/>
        <w:jc w:val="both"/>
        <w:rPr>
          <w:sz w:val="18"/>
          <w:szCs w:val="18"/>
        </w:rPr>
      </w:pPr>
      <w:r w:rsidRPr="00D30361">
        <w:rPr>
          <w:rStyle w:val="FootnoteReference"/>
          <w:sz w:val="18"/>
          <w:szCs w:val="18"/>
        </w:rPr>
        <w:footnoteRef/>
      </w:r>
      <w:r w:rsidRPr="00D30361">
        <w:rPr>
          <w:sz w:val="18"/>
          <w:szCs w:val="18"/>
        </w:rPr>
        <w:t xml:space="preserve"> For the final ranking of departments see Annex 1.</w:t>
      </w:r>
    </w:p>
  </w:footnote>
  <w:footnote w:id="5">
    <w:p w:rsidR="0065335D" w:rsidRPr="0065335D" w:rsidRDefault="0065335D" w:rsidP="00A67629">
      <w:pPr>
        <w:pStyle w:val="FootnoteText"/>
        <w:jc w:val="both"/>
        <w:rPr>
          <w:sz w:val="18"/>
          <w:szCs w:val="18"/>
        </w:rPr>
      </w:pPr>
      <w:r w:rsidRPr="0065335D">
        <w:rPr>
          <w:rStyle w:val="FootnoteReference"/>
          <w:sz w:val="18"/>
          <w:szCs w:val="18"/>
        </w:rPr>
        <w:footnoteRef/>
      </w:r>
      <w:r w:rsidRPr="0065335D">
        <w:rPr>
          <w:sz w:val="18"/>
          <w:szCs w:val="18"/>
        </w:rPr>
        <w:t xml:space="preserve"> The one exception is the American University of Central Asia. Between 2005 and 2009, at a request of the HESP Board, AFP briefly supported departments at </w:t>
      </w:r>
      <w:r>
        <w:rPr>
          <w:sz w:val="18"/>
          <w:szCs w:val="18"/>
        </w:rPr>
        <w:t>other three</w:t>
      </w:r>
      <w:r w:rsidRPr="0065335D">
        <w:rPr>
          <w:sz w:val="18"/>
          <w:szCs w:val="18"/>
        </w:rPr>
        <w:t xml:space="preserve"> private universities – all recipients of HESP institutional support. </w:t>
      </w:r>
    </w:p>
  </w:footnote>
  <w:footnote w:id="6">
    <w:p w:rsidR="00990E3B" w:rsidRDefault="00990E3B">
      <w:pPr>
        <w:pStyle w:val="FootnoteText"/>
      </w:pPr>
      <w:r>
        <w:rPr>
          <w:rStyle w:val="FootnoteReference"/>
        </w:rPr>
        <w:footnoteRef/>
      </w:r>
      <w:r>
        <w:t xml:space="preserve"> As support to departments at Palestinian universities was not part of the original AFP mandate, they are not included in this portfolio review. </w:t>
      </w:r>
    </w:p>
  </w:footnote>
  <w:footnote w:id="7">
    <w:p w:rsidR="007B1188" w:rsidRPr="00D30361" w:rsidRDefault="007B1188" w:rsidP="00475E17">
      <w:pPr>
        <w:pStyle w:val="FootnoteText"/>
        <w:jc w:val="both"/>
        <w:rPr>
          <w:sz w:val="18"/>
          <w:szCs w:val="18"/>
        </w:rPr>
      </w:pPr>
      <w:r w:rsidRPr="00D30361">
        <w:rPr>
          <w:rStyle w:val="FootnoteReference"/>
          <w:sz w:val="18"/>
          <w:szCs w:val="18"/>
        </w:rPr>
        <w:footnoteRef/>
      </w:r>
      <w:r w:rsidRPr="00D30361">
        <w:rPr>
          <w:sz w:val="18"/>
          <w:szCs w:val="18"/>
        </w:rPr>
        <w:t xml:space="preserve"> The program requires </w:t>
      </w:r>
      <w:r>
        <w:rPr>
          <w:sz w:val="18"/>
          <w:szCs w:val="18"/>
        </w:rPr>
        <w:t>Returning Scholars</w:t>
      </w:r>
      <w:r w:rsidRPr="00D30361">
        <w:rPr>
          <w:sz w:val="18"/>
          <w:szCs w:val="18"/>
        </w:rPr>
        <w:t xml:space="preserve"> </w:t>
      </w:r>
      <w:r>
        <w:rPr>
          <w:sz w:val="18"/>
          <w:szCs w:val="18"/>
        </w:rPr>
        <w:t xml:space="preserve">to </w:t>
      </w:r>
      <w:r w:rsidRPr="00D30361">
        <w:rPr>
          <w:sz w:val="18"/>
          <w:szCs w:val="18"/>
        </w:rPr>
        <w:t xml:space="preserve">teach a minimum of four semester-long courses </w:t>
      </w:r>
      <w:r>
        <w:rPr>
          <w:sz w:val="18"/>
          <w:szCs w:val="18"/>
        </w:rPr>
        <w:t>each</w:t>
      </w:r>
      <w:r w:rsidRPr="00D30361">
        <w:rPr>
          <w:sz w:val="18"/>
          <w:szCs w:val="18"/>
        </w:rPr>
        <w:t xml:space="preserve"> academic year. Many of these courses undergo continuous revision.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D804AF1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27F6090"/>
    <w:multiLevelType w:val="hybridMultilevel"/>
    <w:tmpl w:val="156AF8B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AB44D62"/>
    <w:multiLevelType w:val="hybridMultilevel"/>
    <w:tmpl w:val="CF00EBDE"/>
    <w:lvl w:ilvl="0" w:tplc="0409000F">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EE35958"/>
    <w:multiLevelType w:val="hybridMultilevel"/>
    <w:tmpl w:val="55C02BB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5267A1D"/>
    <w:multiLevelType w:val="hybridMultilevel"/>
    <w:tmpl w:val="CDB6722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6E457CF"/>
    <w:multiLevelType w:val="hybridMultilevel"/>
    <w:tmpl w:val="44B652CE"/>
    <w:lvl w:ilvl="0" w:tplc="2AE26D12">
      <w:start w:val="4"/>
      <w:numFmt w:val="decimal"/>
      <w:lvlText w:val="%1."/>
      <w:lvlJc w:val="left"/>
      <w:pPr>
        <w:ind w:left="450" w:hanging="360"/>
      </w:pPr>
      <w:rPr>
        <w:rFonts w:hint="default"/>
        <w:b w:val="0"/>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6">
    <w:nsid w:val="1B454E57"/>
    <w:multiLevelType w:val="hybridMultilevel"/>
    <w:tmpl w:val="698A3394"/>
    <w:lvl w:ilvl="0" w:tplc="8034C266">
      <w:start w:val="2"/>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1810844"/>
    <w:multiLevelType w:val="hybridMultilevel"/>
    <w:tmpl w:val="C8805F3C"/>
    <w:lvl w:ilvl="0" w:tplc="98821EB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D4F77A9"/>
    <w:multiLevelType w:val="hybridMultilevel"/>
    <w:tmpl w:val="D3A4F6CE"/>
    <w:lvl w:ilvl="0" w:tplc="BEA6912A">
      <w:start w:val="1"/>
      <w:numFmt w:val="decimal"/>
      <w:lvlText w:val="%1."/>
      <w:lvlJc w:val="left"/>
      <w:pPr>
        <w:ind w:left="36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E4A132A"/>
    <w:multiLevelType w:val="hybridMultilevel"/>
    <w:tmpl w:val="4D22746E"/>
    <w:lvl w:ilvl="0" w:tplc="0409000F">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3DA685B"/>
    <w:multiLevelType w:val="hybridMultilevel"/>
    <w:tmpl w:val="6A326938"/>
    <w:lvl w:ilvl="0" w:tplc="0422000F">
      <w:start w:val="1"/>
      <w:numFmt w:val="decimal"/>
      <w:lvlText w:val="%1."/>
      <w:lvlJc w:val="left"/>
      <w:pPr>
        <w:ind w:left="36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1">
    <w:nsid w:val="47FE2B87"/>
    <w:multiLevelType w:val="hybridMultilevel"/>
    <w:tmpl w:val="59C2D21A"/>
    <w:lvl w:ilvl="0" w:tplc="0422000F">
      <w:start w:val="1"/>
      <w:numFmt w:val="decimal"/>
      <w:lvlText w:val="%1."/>
      <w:lvlJc w:val="left"/>
      <w:pPr>
        <w:ind w:left="45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2">
    <w:nsid w:val="6935570F"/>
    <w:multiLevelType w:val="hybridMultilevel"/>
    <w:tmpl w:val="7C649EA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5F75E28"/>
    <w:multiLevelType w:val="hybridMultilevel"/>
    <w:tmpl w:val="E9F4B2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AC76A6D"/>
    <w:multiLevelType w:val="hybridMultilevel"/>
    <w:tmpl w:val="B46C2534"/>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7DC07A3E"/>
    <w:multiLevelType w:val="hybridMultilevel"/>
    <w:tmpl w:val="63A64A88"/>
    <w:lvl w:ilvl="0" w:tplc="55225CA4">
      <w:start w:val="1"/>
      <w:numFmt w:val="bullet"/>
      <w:lvlText w:val="-"/>
      <w:lvlJc w:val="left"/>
      <w:pPr>
        <w:ind w:left="720" w:hanging="360"/>
      </w:pPr>
      <w:rPr>
        <w:rFonts w:ascii="Calibri" w:eastAsia="Calibri"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7DD06599"/>
    <w:multiLevelType w:val="hybridMultilevel"/>
    <w:tmpl w:val="91EC73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10"/>
  </w:num>
  <w:num w:numId="3">
    <w:abstractNumId w:val="14"/>
  </w:num>
  <w:num w:numId="4">
    <w:abstractNumId w:val="1"/>
  </w:num>
  <w:num w:numId="5">
    <w:abstractNumId w:val="5"/>
  </w:num>
  <w:num w:numId="6">
    <w:abstractNumId w:val="2"/>
  </w:num>
  <w:num w:numId="7">
    <w:abstractNumId w:val="8"/>
  </w:num>
  <w:num w:numId="8">
    <w:abstractNumId w:val="15"/>
  </w:num>
  <w:num w:numId="9">
    <w:abstractNumId w:val="0"/>
  </w:num>
  <w:num w:numId="10">
    <w:abstractNumId w:val="13"/>
  </w:num>
  <w:num w:numId="11">
    <w:abstractNumId w:val="3"/>
  </w:num>
  <w:num w:numId="12">
    <w:abstractNumId w:val="4"/>
  </w:num>
  <w:num w:numId="13">
    <w:abstractNumId w:val="16"/>
  </w:num>
  <w:num w:numId="14">
    <w:abstractNumId w:val="6"/>
  </w:num>
  <w:num w:numId="15">
    <w:abstractNumId w:val="12"/>
  </w:num>
  <w:num w:numId="16">
    <w:abstractNumId w:val="7"/>
  </w:num>
  <w:num w:numId="1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65FC"/>
    <w:rsid w:val="00000C80"/>
    <w:rsid w:val="00001177"/>
    <w:rsid w:val="00002345"/>
    <w:rsid w:val="000044A5"/>
    <w:rsid w:val="000044D9"/>
    <w:rsid w:val="0000456B"/>
    <w:rsid w:val="0000484F"/>
    <w:rsid w:val="00004943"/>
    <w:rsid w:val="00004CBE"/>
    <w:rsid w:val="000059A4"/>
    <w:rsid w:val="00006141"/>
    <w:rsid w:val="000061E4"/>
    <w:rsid w:val="00006BBC"/>
    <w:rsid w:val="0000707D"/>
    <w:rsid w:val="00011AE0"/>
    <w:rsid w:val="00011CBE"/>
    <w:rsid w:val="00013248"/>
    <w:rsid w:val="00013959"/>
    <w:rsid w:val="00013C6B"/>
    <w:rsid w:val="0001545B"/>
    <w:rsid w:val="00015A2D"/>
    <w:rsid w:val="00016373"/>
    <w:rsid w:val="0001638A"/>
    <w:rsid w:val="00016B55"/>
    <w:rsid w:val="00016E6C"/>
    <w:rsid w:val="0001744E"/>
    <w:rsid w:val="000209B2"/>
    <w:rsid w:val="00020C4A"/>
    <w:rsid w:val="00020F88"/>
    <w:rsid w:val="000215AC"/>
    <w:rsid w:val="00021CB4"/>
    <w:rsid w:val="000224A5"/>
    <w:rsid w:val="0002257C"/>
    <w:rsid w:val="000227CE"/>
    <w:rsid w:val="00022DBE"/>
    <w:rsid w:val="00023AF9"/>
    <w:rsid w:val="00023ED4"/>
    <w:rsid w:val="000249FE"/>
    <w:rsid w:val="00025DED"/>
    <w:rsid w:val="00026659"/>
    <w:rsid w:val="00027D22"/>
    <w:rsid w:val="000306E7"/>
    <w:rsid w:val="00030C60"/>
    <w:rsid w:val="00030DAD"/>
    <w:rsid w:val="0003128D"/>
    <w:rsid w:val="000313BF"/>
    <w:rsid w:val="00031832"/>
    <w:rsid w:val="00031930"/>
    <w:rsid w:val="00031EF3"/>
    <w:rsid w:val="00033DEA"/>
    <w:rsid w:val="00034883"/>
    <w:rsid w:val="00034C7A"/>
    <w:rsid w:val="00034DEE"/>
    <w:rsid w:val="00035AF1"/>
    <w:rsid w:val="0003654F"/>
    <w:rsid w:val="000372B9"/>
    <w:rsid w:val="00037377"/>
    <w:rsid w:val="00037D22"/>
    <w:rsid w:val="00040639"/>
    <w:rsid w:val="000408C7"/>
    <w:rsid w:val="000414F7"/>
    <w:rsid w:val="00041B2B"/>
    <w:rsid w:val="00042590"/>
    <w:rsid w:val="00045AE3"/>
    <w:rsid w:val="00045AFD"/>
    <w:rsid w:val="00047202"/>
    <w:rsid w:val="0005046A"/>
    <w:rsid w:val="00050CA6"/>
    <w:rsid w:val="00052250"/>
    <w:rsid w:val="000525DA"/>
    <w:rsid w:val="00052C07"/>
    <w:rsid w:val="00053B49"/>
    <w:rsid w:val="00054F4D"/>
    <w:rsid w:val="00054F82"/>
    <w:rsid w:val="00055BE3"/>
    <w:rsid w:val="00057263"/>
    <w:rsid w:val="00057A31"/>
    <w:rsid w:val="0006074F"/>
    <w:rsid w:val="00061FC9"/>
    <w:rsid w:val="00062F43"/>
    <w:rsid w:val="00064788"/>
    <w:rsid w:val="000651B7"/>
    <w:rsid w:val="00066EFF"/>
    <w:rsid w:val="000672B7"/>
    <w:rsid w:val="000679F6"/>
    <w:rsid w:val="00067EBE"/>
    <w:rsid w:val="00067FB4"/>
    <w:rsid w:val="0007247B"/>
    <w:rsid w:val="0007421E"/>
    <w:rsid w:val="00074421"/>
    <w:rsid w:val="000760E0"/>
    <w:rsid w:val="00077843"/>
    <w:rsid w:val="00080A6F"/>
    <w:rsid w:val="00082953"/>
    <w:rsid w:val="00085ABF"/>
    <w:rsid w:val="00086EAB"/>
    <w:rsid w:val="00087507"/>
    <w:rsid w:val="00090689"/>
    <w:rsid w:val="00090975"/>
    <w:rsid w:val="00090C3F"/>
    <w:rsid w:val="0009221B"/>
    <w:rsid w:val="00092FAE"/>
    <w:rsid w:val="000937A5"/>
    <w:rsid w:val="000938A2"/>
    <w:rsid w:val="00094473"/>
    <w:rsid w:val="0009522E"/>
    <w:rsid w:val="0009737A"/>
    <w:rsid w:val="000A06B3"/>
    <w:rsid w:val="000A076D"/>
    <w:rsid w:val="000A0D8E"/>
    <w:rsid w:val="000A225F"/>
    <w:rsid w:val="000A37C0"/>
    <w:rsid w:val="000A455C"/>
    <w:rsid w:val="000A5536"/>
    <w:rsid w:val="000A5F2F"/>
    <w:rsid w:val="000A75E8"/>
    <w:rsid w:val="000A7819"/>
    <w:rsid w:val="000A7935"/>
    <w:rsid w:val="000B05DB"/>
    <w:rsid w:val="000B0D84"/>
    <w:rsid w:val="000B17FC"/>
    <w:rsid w:val="000B35E8"/>
    <w:rsid w:val="000B4C9D"/>
    <w:rsid w:val="000B5AB6"/>
    <w:rsid w:val="000C0034"/>
    <w:rsid w:val="000C02D0"/>
    <w:rsid w:val="000C056E"/>
    <w:rsid w:val="000C2331"/>
    <w:rsid w:val="000C4E75"/>
    <w:rsid w:val="000C64B3"/>
    <w:rsid w:val="000C7D41"/>
    <w:rsid w:val="000D02C0"/>
    <w:rsid w:val="000D0380"/>
    <w:rsid w:val="000D08B1"/>
    <w:rsid w:val="000D18BE"/>
    <w:rsid w:val="000D24D6"/>
    <w:rsid w:val="000D2BF3"/>
    <w:rsid w:val="000D316E"/>
    <w:rsid w:val="000D4654"/>
    <w:rsid w:val="000D566F"/>
    <w:rsid w:val="000D5963"/>
    <w:rsid w:val="000E0F50"/>
    <w:rsid w:val="000E2049"/>
    <w:rsid w:val="000E248D"/>
    <w:rsid w:val="000E2AAF"/>
    <w:rsid w:val="000E37BD"/>
    <w:rsid w:val="000E3F92"/>
    <w:rsid w:val="000E41B6"/>
    <w:rsid w:val="000E44F4"/>
    <w:rsid w:val="000E46AF"/>
    <w:rsid w:val="000E5477"/>
    <w:rsid w:val="000E5603"/>
    <w:rsid w:val="000E6ED9"/>
    <w:rsid w:val="000E7219"/>
    <w:rsid w:val="000E7FE3"/>
    <w:rsid w:val="000F09A8"/>
    <w:rsid w:val="000F0A05"/>
    <w:rsid w:val="000F10B6"/>
    <w:rsid w:val="000F19E7"/>
    <w:rsid w:val="000F200F"/>
    <w:rsid w:val="000F2081"/>
    <w:rsid w:val="000F2BE4"/>
    <w:rsid w:val="000F4848"/>
    <w:rsid w:val="000F5CF9"/>
    <w:rsid w:val="000F7E5E"/>
    <w:rsid w:val="001020C9"/>
    <w:rsid w:val="001025FF"/>
    <w:rsid w:val="00102EDC"/>
    <w:rsid w:val="00102F8C"/>
    <w:rsid w:val="001046D9"/>
    <w:rsid w:val="00110989"/>
    <w:rsid w:val="00110F44"/>
    <w:rsid w:val="001114B8"/>
    <w:rsid w:val="00112BCA"/>
    <w:rsid w:val="00113656"/>
    <w:rsid w:val="00114614"/>
    <w:rsid w:val="00114BB1"/>
    <w:rsid w:val="00115854"/>
    <w:rsid w:val="00116129"/>
    <w:rsid w:val="00116282"/>
    <w:rsid w:val="00116F81"/>
    <w:rsid w:val="00117545"/>
    <w:rsid w:val="0011796C"/>
    <w:rsid w:val="00120EA9"/>
    <w:rsid w:val="0012283B"/>
    <w:rsid w:val="00122A07"/>
    <w:rsid w:val="0012410A"/>
    <w:rsid w:val="00124C1D"/>
    <w:rsid w:val="00125129"/>
    <w:rsid w:val="001258BA"/>
    <w:rsid w:val="0012734A"/>
    <w:rsid w:val="00127BDA"/>
    <w:rsid w:val="00127E7B"/>
    <w:rsid w:val="00131A37"/>
    <w:rsid w:val="00131F12"/>
    <w:rsid w:val="0013216C"/>
    <w:rsid w:val="00132AF5"/>
    <w:rsid w:val="00133B04"/>
    <w:rsid w:val="001354A8"/>
    <w:rsid w:val="00136B3C"/>
    <w:rsid w:val="00137248"/>
    <w:rsid w:val="00137526"/>
    <w:rsid w:val="0013754D"/>
    <w:rsid w:val="001406B4"/>
    <w:rsid w:val="00142B61"/>
    <w:rsid w:val="00142F60"/>
    <w:rsid w:val="00145AC0"/>
    <w:rsid w:val="00145E07"/>
    <w:rsid w:val="0014678A"/>
    <w:rsid w:val="00146A6D"/>
    <w:rsid w:val="001473BD"/>
    <w:rsid w:val="00147B92"/>
    <w:rsid w:val="00147E5C"/>
    <w:rsid w:val="00150B98"/>
    <w:rsid w:val="001511E7"/>
    <w:rsid w:val="00151314"/>
    <w:rsid w:val="00151EAE"/>
    <w:rsid w:val="00151F5E"/>
    <w:rsid w:val="0015289C"/>
    <w:rsid w:val="00152D9D"/>
    <w:rsid w:val="00153505"/>
    <w:rsid w:val="00153D0E"/>
    <w:rsid w:val="00154E9F"/>
    <w:rsid w:val="00155331"/>
    <w:rsid w:val="00155693"/>
    <w:rsid w:val="00155CC8"/>
    <w:rsid w:val="001626EE"/>
    <w:rsid w:val="00163531"/>
    <w:rsid w:val="00163611"/>
    <w:rsid w:val="00163757"/>
    <w:rsid w:val="00163CF2"/>
    <w:rsid w:val="001645E1"/>
    <w:rsid w:val="001646D1"/>
    <w:rsid w:val="00164D0B"/>
    <w:rsid w:val="00164E0F"/>
    <w:rsid w:val="00165104"/>
    <w:rsid w:val="0016555D"/>
    <w:rsid w:val="00166196"/>
    <w:rsid w:val="001667CB"/>
    <w:rsid w:val="001669EA"/>
    <w:rsid w:val="00167693"/>
    <w:rsid w:val="001700B7"/>
    <w:rsid w:val="001708D5"/>
    <w:rsid w:val="00171190"/>
    <w:rsid w:val="001716F6"/>
    <w:rsid w:val="00176F0F"/>
    <w:rsid w:val="0017753A"/>
    <w:rsid w:val="00180A9E"/>
    <w:rsid w:val="0018113A"/>
    <w:rsid w:val="001815B7"/>
    <w:rsid w:val="001825AB"/>
    <w:rsid w:val="00182F9B"/>
    <w:rsid w:val="00183E45"/>
    <w:rsid w:val="00183E6B"/>
    <w:rsid w:val="00185529"/>
    <w:rsid w:val="001859E7"/>
    <w:rsid w:val="00186180"/>
    <w:rsid w:val="00187BA0"/>
    <w:rsid w:val="00190246"/>
    <w:rsid w:val="00190427"/>
    <w:rsid w:val="001910E5"/>
    <w:rsid w:val="0019124C"/>
    <w:rsid w:val="00192EB7"/>
    <w:rsid w:val="001933FC"/>
    <w:rsid w:val="0019488A"/>
    <w:rsid w:val="00194942"/>
    <w:rsid w:val="0019752D"/>
    <w:rsid w:val="00197FA8"/>
    <w:rsid w:val="001A0353"/>
    <w:rsid w:val="001A080F"/>
    <w:rsid w:val="001A1281"/>
    <w:rsid w:val="001A14BF"/>
    <w:rsid w:val="001A1587"/>
    <w:rsid w:val="001A164A"/>
    <w:rsid w:val="001A175D"/>
    <w:rsid w:val="001A17F2"/>
    <w:rsid w:val="001A2933"/>
    <w:rsid w:val="001A47B4"/>
    <w:rsid w:val="001A49BD"/>
    <w:rsid w:val="001A53A1"/>
    <w:rsid w:val="001A5DAD"/>
    <w:rsid w:val="001A621D"/>
    <w:rsid w:val="001A6512"/>
    <w:rsid w:val="001A6603"/>
    <w:rsid w:val="001A7CB2"/>
    <w:rsid w:val="001B064C"/>
    <w:rsid w:val="001B1295"/>
    <w:rsid w:val="001B2633"/>
    <w:rsid w:val="001B3ED6"/>
    <w:rsid w:val="001B4328"/>
    <w:rsid w:val="001B54F7"/>
    <w:rsid w:val="001B62DF"/>
    <w:rsid w:val="001C15CD"/>
    <w:rsid w:val="001C1F99"/>
    <w:rsid w:val="001C2BE0"/>
    <w:rsid w:val="001C2C55"/>
    <w:rsid w:val="001C2EB7"/>
    <w:rsid w:val="001C431F"/>
    <w:rsid w:val="001C44EC"/>
    <w:rsid w:val="001C4B73"/>
    <w:rsid w:val="001C53D8"/>
    <w:rsid w:val="001D1577"/>
    <w:rsid w:val="001D1C5D"/>
    <w:rsid w:val="001D210D"/>
    <w:rsid w:val="001D2C0B"/>
    <w:rsid w:val="001D3425"/>
    <w:rsid w:val="001D4967"/>
    <w:rsid w:val="001D4DAF"/>
    <w:rsid w:val="001D52F2"/>
    <w:rsid w:val="001D6295"/>
    <w:rsid w:val="001D66A5"/>
    <w:rsid w:val="001D6AD1"/>
    <w:rsid w:val="001D73A0"/>
    <w:rsid w:val="001D7D31"/>
    <w:rsid w:val="001D7D9C"/>
    <w:rsid w:val="001E0ECD"/>
    <w:rsid w:val="001E1A02"/>
    <w:rsid w:val="001E20F0"/>
    <w:rsid w:val="001E2C1E"/>
    <w:rsid w:val="001E3C52"/>
    <w:rsid w:val="001E4283"/>
    <w:rsid w:val="001E4EE6"/>
    <w:rsid w:val="001E674A"/>
    <w:rsid w:val="001E6850"/>
    <w:rsid w:val="001E7921"/>
    <w:rsid w:val="001E7BF7"/>
    <w:rsid w:val="001E7CD9"/>
    <w:rsid w:val="001F006F"/>
    <w:rsid w:val="001F0F39"/>
    <w:rsid w:val="001F1231"/>
    <w:rsid w:val="001F18E0"/>
    <w:rsid w:val="001F33C5"/>
    <w:rsid w:val="001F3B97"/>
    <w:rsid w:val="001F4436"/>
    <w:rsid w:val="001F4D58"/>
    <w:rsid w:val="001F559F"/>
    <w:rsid w:val="001F5A8B"/>
    <w:rsid w:val="001F5E21"/>
    <w:rsid w:val="001F6901"/>
    <w:rsid w:val="00200695"/>
    <w:rsid w:val="0020134A"/>
    <w:rsid w:val="00201DC5"/>
    <w:rsid w:val="002021C6"/>
    <w:rsid w:val="00202285"/>
    <w:rsid w:val="002039A2"/>
    <w:rsid w:val="0020426C"/>
    <w:rsid w:val="00206071"/>
    <w:rsid w:val="00210FEB"/>
    <w:rsid w:val="00211154"/>
    <w:rsid w:val="002134A3"/>
    <w:rsid w:val="002139F4"/>
    <w:rsid w:val="00214DA4"/>
    <w:rsid w:val="002151CE"/>
    <w:rsid w:val="00215357"/>
    <w:rsid w:val="00215AD0"/>
    <w:rsid w:val="00216D7A"/>
    <w:rsid w:val="00217352"/>
    <w:rsid w:val="00217B11"/>
    <w:rsid w:val="002209ED"/>
    <w:rsid w:val="00221049"/>
    <w:rsid w:val="00226DC4"/>
    <w:rsid w:val="00230088"/>
    <w:rsid w:val="002305BD"/>
    <w:rsid w:val="002306C6"/>
    <w:rsid w:val="00230735"/>
    <w:rsid w:val="00230AA8"/>
    <w:rsid w:val="00230EC2"/>
    <w:rsid w:val="0023172D"/>
    <w:rsid w:val="002323FF"/>
    <w:rsid w:val="002358D3"/>
    <w:rsid w:val="00236839"/>
    <w:rsid w:val="0023755A"/>
    <w:rsid w:val="002409C9"/>
    <w:rsid w:val="00240E98"/>
    <w:rsid w:val="00241628"/>
    <w:rsid w:val="00241F6F"/>
    <w:rsid w:val="002442C5"/>
    <w:rsid w:val="0024487F"/>
    <w:rsid w:val="00244977"/>
    <w:rsid w:val="00244B4A"/>
    <w:rsid w:val="002454DC"/>
    <w:rsid w:val="00245FF0"/>
    <w:rsid w:val="00246C50"/>
    <w:rsid w:val="00250857"/>
    <w:rsid w:val="00250D6D"/>
    <w:rsid w:val="00251FA3"/>
    <w:rsid w:val="0025339A"/>
    <w:rsid w:val="00254F1F"/>
    <w:rsid w:val="002561FC"/>
    <w:rsid w:val="00256BEE"/>
    <w:rsid w:val="00260207"/>
    <w:rsid w:val="00260372"/>
    <w:rsid w:val="0026091A"/>
    <w:rsid w:val="002616BB"/>
    <w:rsid w:val="00261953"/>
    <w:rsid w:val="002636B8"/>
    <w:rsid w:val="002713DA"/>
    <w:rsid w:val="00271635"/>
    <w:rsid w:val="002738E8"/>
    <w:rsid w:val="00274598"/>
    <w:rsid w:val="00274A4D"/>
    <w:rsid w:val="00276945"/>
    <w:rsid w:val="00276FD9"/>
    <w:rsid w:val="00277533"/>
    <w:rsid w:val="00277C58"/>
    <w:rsid w:val="00277EBD"/>
    <w:rsid w:val="00281B4B"/>
    <w:rsid w:val="00282A81"/>
    <w:rsid w:val="0028589E"/>
    <w:rsid w:val="00290C8F"/>
    <w:rsid w:val="0029177A"/>
    <w:rsid w:val="002918F2"/>
    <w:rsid w:val="002921B3"/>
    <w:rsid w:val="00293E38"/>
    <w:rsid w:val="002954F6"/>
    <w:rsid w:val="002966AB"/>
    <w:rsid w:val="002978D4"/>
    <w:rsid w:val="00297CBB"/>
    <w:rsid w:val="002A0280"/>
    <w:rsid w:val="002A0DE0"/>
    <w:rsid w:val="002A11FB"/>
    <w:rsid w:val="002A2A4A"/>
    <w:rsid w:val="002A2C61"/>
    <w:rsid w:val="002A2DA8"/>
    <w:rsid w:val="002A2E7E"/>
    <w:rsid w:val="002A557C"/>
    <w:rsid w:val="002A637C"/>
    <w:rsid w:val="002A68B1"/>
    <w:rsid w:val="002A7629"/>
    <w:rsid w:val="002B2FF1"/>
    <w:rsid w:val="002B3856"/>
    <w:rsid w:val="002B3B1D"/>
    <w:rsid w:val="002B4610"/>
    <w:rsid w:val="002B50F6"/>
    <w:rsid w:val="002B51A2"/>
    <w:rsid w:val="002B5FA4"/>
    <w:rsid w:val="002B67DE"/>
    <w:rsid w:val="002C03B4"/>
    <w:rsid w:val="002C2A6F"/>
    <w:rsid w:val="002C2E9C"/>
    <w:rsid w:val="002C41CB"/>
    <w:rsid w:val="002C4766"/>
    <w:rsid w:val="002C528D"/>
    <w:rsid w:val="002C5C8A"/>
    <w:rsid w:val="002C6D88"/>
    <w:rsid w:val="002C70C0"/>
    <w:rsid w:val="002D19E7"/>
    <w:rsid w:val="002D1CB1"/>
    <w:rsid w:val="002D22CF"/>
    <w:rsid w:val="002D37D7"/>
    <w:rsid w:val="002D3BE4"/>
    <w:rsid w:val="002D41D7"/>
    <w:rsid w:val="002D4E78"/>
    <w:rsid w:val="002D7312"/>
    <w:rsid w:val="002D7B3F"/>
    <w:rsid w:val="002E01E5"/>
    <w:rsid w:val="002E09E5"/>
    <w:rsid w:val="002E09F6"/>
    <w:rsid w:val="002E15CE"/>
    <w:rsid w:val="002E1B53"/>
    <w:rsid w:val="002E3143"/>
    <w:rsid w:val="002E34EC"/>
    <w:rsid w:val="002E3724"/>
    <w:rsid w:val="002E55D7"/>
    <w:rsid w:val="002E5842"/>
    <w:rsid w:val="002E6D95"/>
    <w:rsid w:val="002E7188"/>
    <w:rsid w:val="002E7387"/>
    <w:rsid w:val="002F17C8"/>
    <w:rsid w:val="002F2C2A"/>
    <w:rsid w:val="002F37F7"/>
    <w:rsid w:val="002F502D"/>
    <w:rsid w:val="002F5184"/>
    <w:rsid w:val="002F779A"/>
    <w:rsid w:val="00300A6D"/>
    <w:rsid w:val="00300C22"/>
    <w:rsid w:val="00301735"/>
    <w:rsid w:val="00301CE2"/>
    <w:rsid w:val="00302A0C"/>
    <w:rsid w:val="00303D83"/>
    <w:rsid w:val="003041C2"/>
    <w:rsid w:val="00304C5E"/>
    <w:rsid w:val="00306024"/>
    <w:rsid w:val="00306256"/>
    <w:rsid w:val="003079F2"/>
    <w:rsid w:val="00312E7E"/>
    <w:rsid w:val="00313445"/>
    <w:rsid w:val="003160C6"/>
    <w:rsid w:val="00316B8F"/>
    <w:rsid w:val="003171C5"/>
    <w:rsid w:val="00317D37"/>
    <w:rsid w:val="00317E40"/>
    <w:rsid w:val="00320EE3"/>
    <w:rsid w:val="0032253E"/>
    <w:rsid w:val="0032263D"/>
    <w:rsid w:val="0032290E"/>
    <w:rsid w:val="00322BAE"/>
    <w:rsid w:val="00323168"/>
    <w:rsid w:val="00323268"/>
    <w:rsid w:val="003241CE"/>
    <w:rsid w:val="00324992"/>
    <w:rsid w:val="0032625B"/>
    <w:rsid w:val="003262EB"/>
    <w:rsid w:val="0032718E"/>
    <w:rsid w:val="003306A4"/>
    <w:rsid w:val="00330F40"/>
    <w:rsid w:val="003319AE"/>
    <w:rsid w:val="00332499"/>
    <w:rsid w:val="00332C41"/>
    <w:rsid w:val="00332DF2"/>
    <w:rsid w:val="00332FAB"/>
    <w:rsid w:val="00333184"/>
    <w:rsid w:val="0033337A"/>
    <w:rsid w:val="00333BE1"/>
    <w:rsid w:val="00334EF6"/>
    <w:rsid w:val="00334F9C"/>
    <w:rsid w:val="003356EA"/>
    <w:rsid w:val="00335968"/>
    <w:rsid w:val="00336CC0"/>
    <w:rsid w:val="00337693"/>
    <w:rsid w:val="00341D21"/>
    <w:rsid w:val="00341E4D"/>
    <w:rsid w:val="0034331C"/>
    <w:rsid w:val="003445FE"/>
    <w:rsid w:val="00345372"/>
    <w:rsid w:val="003454EE"/>
    <w:rsid w:val="00345E95"/>
    <w:rsid w:val="003463DA"/>
    <w:rsid w:val="00347648"/>
    <w:rsid w:val="00347B95"/>
    <w:rsid w:val="00350209"/>
    <w:rsid w:val="0035252A"/>
    <w:rsid w:val="00352D39"/>
    <w:rsid w:val="00353271"/>
    <w:rsid w:val="00353D4F"/>
    <w:rsid w:val="0035413F"/>
    <w:rsid w:val="00354BD2"/>
    <w:rsid w:val="00354CC4"/>
    <w:rsid w:val="0035589D"/>
    <w:rsid w:val="00355CE8"/>
    <w:rsid w:val="003578B3"/>
    <w:rsid w:val="00360E57"/>
    <w:rsid w:val="00361104"/>
    <w:rsid w:val="00362A96"/>
    <w:rsid w:val="00362B98"/>
    <w:rsid w:val="003635D6"/>
    <w:rsid w:val="00363EDB"/>
    <w:rsid w:val="00364208"/>
    <w:rsid w:val="00364480"/>
    <w:rsid w:val="00364AD5"/>
    <w:rsid w:val="00364DD1"/>
    <w:rsid w:val="00366927"/>
    <w:rsid w:val="00366C3F"/>
    <w:rsid w:val="003674E4"/>
    <w:rsid w:val="00371222"/>
    <w:rsid w:val="003712B4"/>
    <w:rsid w:val="00372BAD"/>
    <w:rsid w:val="003738EA"/>
    <w:rsid w:val="003744E4"/>
    <w:rsid w:val="003748E7"/>
    <w:rsid w:val="00375618"/>
    <w:rsid w:val="003768CD"/>
    <w:rsid w:val="003775B5"/>
    <w:rsid w:val="00377E72"/>
    <w:rsid w:val="00380C12"/>
    <w:rsid w:val="00380FEC"/>
    <w:rsid w:val="00381571"/>
    <w:rsid w:val="0038270D"/>
    <w:rsid w:val="00382ED3"/>
    <w:rsid w:val="00383E31"/>
    <w:rsid w:val="00383E43"/>
    <w:rsid w:val="00386965"/>
    <w:rsid w:val="00386A3A"/>
    <w:rsid w:val="00387C25"/>
    <w:rsid w:val="00390643"/>
    <w:rsid w:val="0039079A"/>
    <w:rsid w:val="00390B15"/>
    <w:rsid w:val="0039301E"/>
    <w:rsid w:val="003944D0"/>
    <w:rsid w:val="00396EB4"/>
    <w:rsid w:val="0039703A"/>
    <w:rsid w:val="003972DB"/>
    <w:rsid w:val="00397975"/>
    <w:rsid w:val="003A16FA"/>
    <w:rsid w:val="003A275D"/>
    <w:rsid w:val="003A2ED0"/>
    <w:rsid w:val="003A6DA4"/>
    <w:rsid w:val="003A72AE"/>
    <w:rsid w:val="003A7924"/>
    <w:rsid w:val="003B0B04"/>
    <w:rsid w:val="003B0D2D"/>
    <w:rsid w:val="003B208A"/>
    <w:rsid w:val="003B2538"/>
    <w:rsid w:val="003B2947"/>
    <w:rsid w:val="003B3765"/>
    <w:rsid w:val="003B526C"/>
    <w:rsid w:val="003B5F44"/>
    <w:rsid w:val="003B651A"/>
    <w:rsid w:val="003B6574"/>
    <w:rsid w:val="003B6944"/>
    <w:rsid w:val="003B6B1B"/>
    <w:rsid w:val="003B6DB0"/>
    <w:rsid w:val="003C065B"/>
    <w:rsid w:val="003C1693"/>
    <w:rsid w:val="003C2883"/>
    <w:rsid w:val="003C467B"/>
    <w:rsid w:val="003C58EB"/>
    <w:rsid w:val="003C751A"/>
    <w:rsid w:val="003C758D"/>
    <w:rsid w:val="003D079A"/>
    <w:rsid w:val="003D2F0D"/>
    <w:rsid w:val="003D42E8"/>
    <w:rsid w:val="003D4C10"/>
    <w:rsid w:val="003D591A"/>
    <w:rsid w:val="003D5F9C"/>
    <w:rsid w:val="003D6C48"/>
    <w:rsid w:val="003D716D"/>
    <w:rsid w:val="003D71E2"/>
    <w:rsid w:val="003D7E2E"/>
    <w:rsid w:val="003E12EE"/>
    <w:rsid w:val="003E1305"/>
    <w:rsid w:val="003E229A"/>
    <w:rsid w:val="003E23BB"/>
    <w:rsid w:val="003E2C48"/>
    <w:rsid w:val="003E3358"/>
    <w:rsid w:val="003E3A12"/>
    <w:rsid w:val="003E4503"/>
    <w:rsid w:val="003F0F68"/>
    <w:rsid w:val="003F1754"/>
    <w:rsid w:val="003F202F"/>
    <w:rsid w:val="003F3738"/>
    <w:rsid w:val="003F5441"/>
    <w:rsid w:val="003F576D"/>
    <w:rsid w:val="003F72A9"/>
    <w:rsid w:val="0040271E"/>
    <w:rsid w:val="00403BF4"/>
    <w:rsid w:val="0040519D"/>
    <w:rsid w:val="004077A4"/>
    <w:rsid w:val="00407D69"/>
    <w:rsid w:val="00411072"/>
    <w:rsid w:val="004114D2"/>
    <w:rsid w:val="00412488"/>
    <w:rsid w:val="00413151"/>
    <w:rsid w:val="00413182"/>
    <w:rsid w:val="0041361E"/>
    <w:rsid w:val="00415012"/>
    <w:rsid w:val="0041679C"/>
    <w:rsid w:val="0042067E"/>
    <w:rsid w:val="00420C00"/>
    <w:rsid w:val="00420D7A"/>
    <w:rsid w:val="004212A3"/>
    <w:rsid w:val="004214FE"/>
    <w:rsid w:val="0042171B"/>
    <w:rsid w:val="00421F7C"/>
    <w:rsid w:val="004233CA"/>
    <w:rsid w:val="004269DE"/>
    <w:rsid w:val="004270FB"/>
    <w:rsid w:val="00430848"/>
    <w:rsid w:val="00430A53"/>
    <w:rsid w:val="00431557"/>
    <w:rsid w:val="004316E6"/>
    <w:rsid w:val="004332AC"/>
    <w:rsid w:val="00433A8D"/>
    <w:rsid w:val="00436D07"/>
    <w:rsid w:val="0044048B"/>
    <w:rsid w:val="00441377"/>
    <w:rsid w:val="00441866"/>
    <w:rsid w:val="0044267D"/>
    <w:rsid w:val="00442928"/>
    <w:rsid w:val="004433D3"/>
    <w:rsid w:val="00443F74"/>
    <w:rsid w:val="00443FBE"/>
    <w:rsid w:val="00444B16"/>
    <w:rsid w:val="00445D22"/>
    <w:rsid w:val="00445D28"/>
    <w:rsid w:val="00445F07"/>
    <w:rsid w:val="00446093"/>
    <w:rsid w:val="004461EE"/>
    <w:rsid w:val="0044640A"/>
    <w:rsid w:val="004467ED"/>
    <w:rsid w:val="00446C0B"/>
    <w:rsid w:val="004506E2"/>
    <w:rsid w:val="00450CF8"/>
    <w:rsid w:val="004514B9"/>
    <w:rsid w:val="00453152"/>
    <w:rsid w:val="004554FC"/>
    <w:rsid w:val="00455981"/>
    <w:rsid w:val="0045615B"/>
    <w:rsid w:val="0045698E"/>
    <w:rsid w:val="004570EB"/>
    <w:rsid w:val="004575ED"/>
    <w:rsid w:val="00457E5B"/>
    <w:rsid w:val="00460605"/>
    <w:rsid w:val="00462227"/>
    <w:rsid w:val="00462E11"/>
    <w:rsid w:val="00465BC8"/>
    <w:rsid w:val="00471E0D"/>
    <w:rsid w:val="00471E65"/>
    <w:rsid w:val="00473016"/>
    <w:rsid w:val="00473873"/>
    <w:rsid w:val="00473CCD"/>
    <w:rsid w:val="0047400C"/>
    <w:rsid w:val="0047448F"/>
    <w:rsid w:val="00474B82"/>
    <w:rsid w:val="00475E17"/>
    <w:rsid w:val="00476922"/>
    <w:rsid w:val="00477587"/>
    <w:rsid w:val="004776DA"/>
    <w:rsid w:val="00477A87"/>
    <w:rsid w:val="0048109D"/>
    <w:rsid w:val="00483033"/>
    <w:rsid w:val="00484F23"/>
    <w:rsid w:val="004857EF"/>
    <w:rsid w:val="004866B9"/>
    <w:rsid w:val="004874A7"/>
    <w:rsid w:val="00487E03"/>
    <w:rsid w:val="004900CE"/>
    <w:rsid w:val="00490F69"/>
    <w:rsid w:val="004919DC"/>
    <w:rsid w:val="00492E98"/>
    <w:rsid w:val="0049366D"/>
    <w:rsid w:val="00493DF8"/>
    <w:rsid w:val="00493E37"/>
    <w:rsid w:val="004950B7"/>
    <w:rsid w:val="00496CBA"/>
    <w:rsid w:val="00497E5A"/>
    <w:rsid w:val="004A232C"/>
    <w:rsid w:val="004A2B0D"/>
    <w:rsid w:val="004A2F32"/>
    <w:rsid w:val="004A47C4"/>
    <w:rsid w:val="004A4E52"/>
    <w:rsid w:val="004A6E32"/>
    <w:rsid w:val="004A771D"/>
    <w:rsid w:val="004A7FBD"/>
    <w:rsid w:val="004B1292"/>
    <w:rsid w:val="004B16DD"/>
    <w:rsid w:val="004B2181"/>
    <w:rsid w:val="004B2964"/>
    <w:rsid w:val="004B30DF"/>
    <w:rsid w:val="004B3E23"/>
    <w:rsid w:val="004B3FC5"/>
    <w:rsid w:val="004B4E3D"/>
    <w:rsid w:val="004B4F9C"/>
    <w:rsid w:val="004B5681"/>
    <w:rsid w:val="004B6733"/>
    <w:rsid w:val="004B67F9"/>
    <w:rsid w:val="004B70C8"/>
    <w:rsid w:val="004B71EA"/>
    <w:rsid w:val="004C0567"/>
    <w:rsid w:val="004C0673"/>
    <w:rsid w:val="004C09B8"/>
    <w:rsid w:val="004C2115"/>
    <w:rsid w:val="004C2B81"/>
    <w:rsid w:val="004C2C1C"/>
    <w:rsid w:val="004C2C4F"/>
    <w:rsid w:val="004C34BE"/>
    <w:rsid w:val="004C374F"/>
    <w:rsid w:val="004C4628"/>
    <w:rsid w:val="004C48A5"/>
    <w:rsid w:val="004C4F58"/>
    <w:rsid w:val="004C5303"/>
    <w:rsid w:val="004C554C"/>
    <w:rsid w:val="004C5903"/>
    <w:rsid w:val="004C5B1C"/>
    <w:rsid w:val="004D0AAB"/>
    <w:rsid w:val="004D0BD3"/>
    <w:rsid w:val="004D24A3"/>
    <w:rsid w:val="004D2AC2"/>
    <w:rsid w:val="004D2F13"/>
    <w:rsid w:val="004D330E"/>
    <w:rsid w:val="004D365A"/>
    <w:rsid w:val="004D40B2"/>
    <w:rsid w:val="004D44D4"/>
    <w:rsid w:val="004D495C"/>
    <w:rsid w:val="004D5D68"/>
    <w:rsid w:val="004D6CCA"/>
    <w:rsid w:val="004D7B50"/>
    <w:rsid w:val="004E08EF"/>
    <w:rsid w:val="004E36FE"/>
    <w:rsid w:val="004E39BF"/>
    <w:rsid w:val="004E3F8B"/>
    <w:rsid w:val="004E4763"/>
    <w:rsid w:val="004E4857"/>
    <w:rsid w:val="004E5164"/>
    <w:rsid w:val="004E560C"/>
    <w:rsid w:val="004E5C6C"/>
    <w:rsid w:val="004E64D9"/>
    <w:rsid w:val="004F02C1"/>
    <w:rsid w:val="004F1651"/>
    <w:rsid w:val="004F1F0E"/>
    <w:rsid w:val="004F32AF"/>
    <w:rsid w:val="004F49B3"/>
    <w:rsid w:val="004F60B0"/>
    <w:rsid w:val="004F7551"/>
    <w:rsid w:val="004F7AB6"/>
    <w:rsid w:val="00500232"/>
    <w:rsid w:val="00501323"/>
    <w:rsid w:val="00501C8B"/>
    <w:rsid w:val="00501F7F"/>
    <w:rsid w:val="00502A6F"/>
    <w:rsid w:val="00502DE4"/>
    <w:rsid w:val="0050322E"/>
    <w:rsid w:val="00503D2E"/>
    <w:rsid w:val="005047C8"/>
    <w:rsid w:val="0050484A"/>
    <w:rsid w:val="00504B46"/>
    <w:rsid w:val="005067F7"/>
    <w:rsid w:val="00506B91"/>
    <w:rsid w:val="005111EC"/>
    <w:rsid w:val="0051288B"/>
    <w:rsid w:val="00515A87"/>
    <w:rsid w:val="005202D3"/>
    <w:rsid w:val="00520979"/>
    <w:rsid w:val="00521707"/>
    <w:rsid w:val="005219B7"/>
    <w:rsid w:val="005222FE"/>
    <w:rsid w:val="0052244C"/>
    <w:rsid w:val="005225A3"/>
    <w:rsid w:val="00522B73"/>
    <w:rsid w:val="005235F3"/>
    <w:rsid w:val="005241BA"/>
    <w:rsid w:val="00524653"/>
    <w:rsid w:val="005247B5"/>
    <w:rsid w:val="0052600F"/>
    <w:rsid w:val="00526AC3"/>
    <w:rsid w:val="00527837"/>
    <w:rsid w:val="00531FA2"/>
    <w:rsid w:val="00532E99"/>
    <w:rsid w:val="005332C9"/>
    <w:rsid w:val="005333F2"/>
    <w:rsid w:val="00533413"/>
    <w:rsid w:val="0053474D"/>
    <w:rsid w:val="00534771"/>
    <w:rsid w:val="005363F5"/>
    <w:rsid w:val="00536718"/>
    <w:rsid w:val="00536B81"/>
    <w:rsid w:val="00536E44"/>
    <w:rsid w:val="00541E71"/>
    <w:rsid w:val="0054370A"/>
    <w:rsid w:val="00544586"/>
    <w:rsid w:val="005448CE"/>
    <w:rsid w:val="00544BDC"/>
    <w:rsid w:val="00545260"/>
    <w:rsid w:val="00547A3B"/>
    <w:rsid w:val="0055139F"/>
    <w:rsid w:val="005516CA"/>
    <w:rsid w:val="00551BC9"/>
    <w:rsid w:val="00552607"/>
    <w:rsid w:val="0055261E"/>
    <w:rsid w:val="00552A28"/>
    <w:rsid w:val="005534FD"/>
    <w:rsid w:val="00553A56"/>
    <w:rsid w:val="00553FFF"/>
    <w:rsid w:val="00555427"/>
    <w:rsid w:val="00557683"/>
    <w:rsid w:val="00560404"/>
    <w:rsid w:val="00561E00"/>
    <w:rsid w:val="00561FD6"/>
    <w:rsid w:val="005624AA"/>
    <w:rsid w:val="005647B9"/>
    <w:rsid w:val="005649EC"/>
    <w:rsid w:val="00565035"/>
    <w:rsid w:val="00571BED"/>
    <w:rsid w:val="00572500"/>
    <w:rsid w:val="005736D4"/>
    <w:rsid w:val="0057619C"/>
    <w:rsid w:val="00577A3E"/>
    <w:rsid w:val="00577B04"/>
    <w:rsid w:val="00577CFA"/>
    <w:rsid w:val="00580E11"/>
    <w:rsid w:val="005829E8"/>
    <w:rsid w:val="00582D61"/>
    <w:rsid w:val="0058314D"/>
    <w:rsid w:val="005834FD"/>
    <w:rsid w:val="00584054"/>
    <w:rsid w:val="00585CCB"/>
    <w:rsid w:val="00586031"/>
    <w:rsid w:val="00586D50"/>
    <w:rsid w:val="00587EEE"/>
    <w:rsid w:val="0059014B"/>
    <w:rsid w:val="00590CC4"/>
    <w:rsid w:val="005917E5"/>
    <w:rsid w:val="0059212D"/>
    <w:rsid w:val="005930BF"/>
    <w:rsid w:val="00593AF0"/>
    <w:rsid w:val="00594E15"/>
    <w:rsid w:val="005953F8"/>
    <w:rsid w:val="005965D7"/>
    <w:rsid w:val="005970BF"/>
    <w:rsid w:val="00597FD2"/>
    <w:rsid w:val="005A0299"/>
    <w:rsid w:val="005A07FF"/>
    <w:rsid w:val="005A1C67"/>
    <w:rsid w:val="005A2CDF"/>
    <w:rsid w:val="005A373E"/>
    <w:rsid w:val="005A378F"/>
    <w:rsid w:val="005A66E5"/>
    <w:rsid w:val="005A76CF"/>
    <w:rsid w:val="005B0855"/>
    <w:rsid w:val="005B0BF4"/>
    <w:rsid w:val="005B1F35"/>
    <w:rsid w:val="005B26FB"/>
    <w:rsid w:val="005B3E33"/>
    <w:rsid w:val="005B3E64"/>
    <w:rsid w:val="005B4A71"/>
    <w:rsid w:val="005B6643"/>
    <w:rsid w:val="005B6ED2"/>
    <w:rsid w:val="005B6F67"/>
    <w:rsid w:val="005B7239"/>
    <w:rsid w:val="005B7C06"/>
    <w:rsid w:val="005C02B1"/>
    <w:rsid w:val="005C05CD"/>
    <w:rsid w:val="005C3508"/>
    <w:rsid w:val="005C377C"/>
    <w:rsid w:val="005C6D32"/>
    <w:rsid w:val="005C7E06"/>
    <w:rsid w:val="005D0937"/>
    <w:rsid w:val="005D0CFA"/>
    <w:rsid w:val="005D2CFC"/>
    <w:rsid w:val="005D2F60"/>
    <w:rsid w:val="005D4083"/>
    <w:rsid w:val="005D4304"/>
    <w:rsid w:val="005D4419"/>
    <w:rsid w:val="005D454D"/>
    <w:rsid w:val="005D498B"/>
    <w:rsid w:val="005D6F9A"/>
    <w:rsid w:val="005E01E7"/>
    <w:rsid w:val="005E03B4"/>
    <w:rsid w:val="005E0C94"/>
    <w:rsid w:val="005E0D22"/>
    <w:rsid w:val="005E0EC0"/>
    <w:rsid w:val="005E171B"/>
    <w:rsid w:val="005E41D3"/>
    <w:rsid w:val="005E4F17"/>
    <w:rsid w:val="005E5260"/>
    <w:rsid w:val="005E55B4"/>
    <w:rsid w:val="005E5FCC"/>
    <w:rsid w:val="005E6133"/>
    <w:rsid w:val="005E617E"/>
    <w:rsid w:val="005E75E4"/>
    <w:rsid w:val="005E7C79"/>
    <w:rsid w:val="005E7CC7"/>
    <w:rsid w:val="005F186E"/>
    <w:rsid w:val="005F29D4"/>
    <w:rsid w:val="005F33C6"/>
    <w:rsid w:val="005F37E8"/>
    <w:rsid w:val="005F5299"/>
    <w:rsid w:val="005F5B06"/>
    <w:rsid w:val="00600772"/>
    <w:rsid w:val="006017C1"/>
    <w:rsid w:val="0060478B"/>
    <w:rsid w:val="00604C23"/>
    <w:rsid w:val="00604D41"/>
    <w:rsid w:val="00606702"/>
    <w:rsid w:val="00610D7D"/>
    <w:rsid w:val="00611122"/>
    <w:rsid w:val="00611503"/>
    <w:rsid w:val="006134A1"/>
    <w:rsid w:val="00615C27"/>
    <w:rsid w:val="00615C5C"/>
    <w:rsid w:val="00615DBB"/>
    <w:rsid w:val="006166EF"/>
    <w:rsid w:val="00617FFA"/>
    <w:rsid w:val="00620AC8"/>
    <w:rsid w:val="0062137E"/>
    <w:rsid w:val="00621765"/>
    <w:rsid w:val="00621843"/>
    <w:rsid w:val="00621B8B"/>
    <w:rsid w:val="006223D6"/>
    <w:rsid w:val="00622525"/>
    <w:rsid w:val="0062276F"/>
    <w:rsid w:val="00622DB7"/>
    <w:rsid w:val="0062318E"/>
    <w:rsid w:val="00623396"/>
    <w:rsid w:val="006234B3"/>
    <w:rsid w:val="00624666"/>
    <w:rsid w:val="00625B80"/>
    <w:rsid w:val="00625EE7"/>
    <w:rsid w:val="00626B2E"/>
    <w:rsid w:val="006273B1"/>
    <w:rsid w:val="0062754C"/>
    <w:rsid w:val="0062783F"/>
    <w:rsid w:val="00627D5B"/>
    <w:rsid w:val="006303DA"/>
    <w:rsid w:val="00630F3E"/>
    <w:rsid w:val="006310B8"/>
    <w:rsid w:val="00631616"/>
    <w:rsid w:val="00631A47"/>
    <w:rsid w:val="00632809"/>
    <w:rsid w:val="00634BA0"/>
    <w:rsid w:val="006354CE"/>
    <w:rsid w:val="00635C14"/>
    <w:rsid w:val="00635CAA"/>
    <w:rsid w:val="00636342"/>
    <w:rsid w:val="00636F91"/>
    <w:rsid w:val="00637A96"/>
    <w:rsid w:val="0064079C"/>
    <w:rsid w:val="00640DAD"/>
    <w:rsid w:val="00641390"/>
    <w:rsid w:val="0064171A"/>
    <w:rsid w:val="00641C10"/>
    <w:rsid w:val="00644AC1"/>
    <w:rsid w:val="00645286"/>
    <w:rsid w:val="006456E6"/>
    <w:rsid w:val="006464ED"/>
    <w:rsid w:val="00647140"/>
    <w:rsid w:val="0065028E"/>
    <w:rsid w:val="00650D9C"/>
    <w:rsid w:val="00650EC6"/>
    <w:rsid w:val="00651183"/>
    <w:rsid w:val="00651F29"/>
    <w:rsid w:val="00652736"/>
    <w:rsid w:val="00652819"/>
    <w:rsid w:val="006531C6"/>
    <w:rsid w:val="0065335D"/>
    <w:rsid w:val="006546B3"/>
    <w:rsid w:val="0065510F"/>
    <w:rsid w:val="00655AFF"/>
    <w:rsid w:val="00655B98"/>
    <w:rsid w:val="00657099"/>
    <w:rsid w:val="00657EBA"/>
    <w:rsid w:val="006607A8"/>
    <w:rsid w:val="00660AE5"/>
    <w:rsid w:val="00660EC1"/>
    <w:rsid w:val="00662B7E"/>
    <w:rsid w:val="00663962"/>
    <w:rsid w:val="00663D8A"/>
    <w:rsid w:val="00665232"/>
    <w:rsid w:val="00666A5B"/>
    <w:rsid w:val="0066704F"/>
    <w:rsid w:val="00667528"/>
    <w:rsid w:val="00667B5E"/>
    <w:rsid w:val="00671433"/>
    <w:rsid w:val="0067157F"/>
    <w:rsid w:val="00671EA6"/>
    <w:rsid w:val="00672966"/>
    <w:rsid w:val="006730A0"/>
    <w:rsid w:val="006738F6"/>
    <w:rsid w:val="00673B0C"/>
    <w:rsid w:val="00673DD6"/>
    <w:rsid w:val="00674233"/>
    <w:rsid w:val="00674EF1"/>
    <w:rsid w:val="00675090"/>
    <w:rsid w:val="006756A9"/>
    <w:rsid w:val="006817E1"/>
    <w:rsid w:val="00681C38"/>
    <w:rsid w:val="00681CAD"/>
    <w:rsid w:val="00682938"/>
    <w:rsid w:val="00685472"/>
    <w:rsid w:val="00685A52"/>
    <w:rsid w:val="00686674"/>
    <w:rsid w:val="00686DFE"/>
    <w:rsid w:val="00687AD6"/>
    <w:rsid w:val="0069084C"/>
    <w:rsid w:val="006925E0"/>
    <w:rsid w:val="0069271B"/>
    <w:rsid w:val="00693C46"/>
    <w:rsid w:val="00694650"/>
    <w:rsid w:val="00694D87"/>
    <w:rsid w:val="00695873"/>
    <w:rsid w:val="00695E53"/>
    <w:rsid w:val="00696593"/>
    <w:rsid w:val="00696E64"/>
    <w:rsid w:val="006A146E"/>
    <w:rsid w:val="006A2E9E"/>
    <w:rsid w:val="006A46A9"/>
    <w:rsid w:val="006A70D7"/>
    <w:rsid w:val="006A7BA7"/>
    <w:rsid w:val="006B0A74"/>
    <w:rsid w:val="006B0C99"/>
    <w:rsid w:val="006B285C"/>
    <w:rsid w:val="006B2C55"/>
    <w:rsid w:val="006B3417"/>
    <w:rsid w:val="006B3903"/>
    <w:rsid w:val="006B3CB6"/>
    <w:rsid w:val="006B407D"/>
    <w:rsid w:val="006B42A1"/>
    <w:rsid w:val="006B459A"/>
    <w:rsid w:val="006B5124"/>
    <w:rsid w:val="006B544A"/>
    <w:rsid w:val="006B58F4"/>
    <w:rsid w:val="006B5DB2"/>
    <w:rsid w:val="006B5FF9"/>
    <w:rsid w:val="006B6892"/>
    <w:rsid w:val="006B6B12"/>
    <w:rsid w:val="006B7049"/>
    <w:rsid w:val="006B73D5"/>
    <w:rsid w:val="006B76BF"/>
    <w:rsid w:val="006C17FA"/>
    <w:rsid w:val="006C21A0"/>
    <w:rsid w:val="006C2212"/>
    <w:rsid w:val="006C23DD"/>
    <w:rsid w:val="006C2AA9"/>
    <w:rsid w:val="006C3943"/>
    <w:rsid w:val="006C464E"/>
    <w:rsid w:val="006C4F33"/>
    <w:rsid w:val="006C51D1"/>
    <w:rsid w:val="006C6775"/>
    <w:rsid w:val="006C6F76"/>
    <w:rsid w:val="006C79A1"/>
    <w:rsid w:val="006D0314"/>
    <w:rsid w:val="006D0960"/>
    <w:rsid w:val="006D1AE5"/>
    <w:rsid w:val="006D2439"/>
    <w:rsid w:val="006D3995"/>
    <w:rsid w:val="006D515E"/>
    <w:rsid w:val="006D5934"/>
    <w:rsid w:val="006D5941"/>
    <w:rsid w:val="006E0324"/>
    <w:rsid w:val="006E19DE"/>
    <w:rsid w:val="006E2203"/>
    <w:rsid w:val="006E2C86"/>
    <w:rsid w:val="006E3233"/>
    <w:rsid w:val="006E36D2"/>
    <w:rsid w:val="006E4A60"/>
    <w:rsid w:val="006E522A"/>
    <w:rsid w:val="006E6089"/>
    <w:rsid w:val="006E67E6"/>
    <w:rsid w:val="006E67FD"/>
    <w:rsid w:val="006F1B59"/>
    <w:rsid w:val="006F1C60"/>
    <w:rsid w:val="006F1CB4"/>
    <w:rsid w:val="006F24AC"/>
    <w:rsid w:val="006F2DC3"/>
    <w:rsid w:val="006F3B02"/>
    <w:rsid w:val="006F4B6A"/>
    <w:rsid w:val="006F5F77"/>
    <w:rsid w:val="006F65DE"/>
    <w:rsid w:val="006F77B4"/>
    <w:rsid w:val="006F798E"/>
    <w:rsid w:val="006F79F2"/>
    <w:rsid w:val="00700CD9"/>
    <w:rsid w:val="00700F6E"/>
    <w:rsid w:val="007015D6"/>
    <w:rsid w:val="00701E5B"/>
    <w:rsid w:val="00705CF9"/>
    <w:rsid w:val="00707063"/>
    <w:rsid w:val="00707B12"/>
    <w:rsid w:val="007105F0"/>
    <w:rsid w:val="00710AFD"/>
    <w:rsid w:val="00710F98"/>
    <w:rsid w:val="00711504"/>
    <w:rsid w:val="00711C77"/>
    <w:rsid w:val="00712828"/>
    <w:rsid w:val="00713971"/>
    <w:rsid w:val="00716593"/>
    <w:rsid w:val="00716F67"/>
    <w:rsid w:val="0071771C"/>
    <w:rsid w:val="00717739"/>
    <w:rsid w:val="00717C8B"/>
    <w:rsid w:val="007213B3"/>
    <w:rsid w:val="007231C7"/>
    <w:rsid w:val="00723B77"/>
    <w:rsid w:val="0072464E"/>
    <w:rsid w:val="00724739"/>
    <w:rsid w:val="00725BFA"/>
    <w:rsid w:val="00725D70"/>
    <w:rsid w:val="0072678B"/>
    <w:rsid w:val="00726A82"/>
    <w:rsid w:val="007277E6"/>
    <w:rsid w:val="007307C4"/>
    <w:rsid w:val="007317F9"/>
    <w:rsid w:val="0073192C"/>
    <w:rsid w:val="007320A9"/>
    <w:rsid w:val="00734709"/>
    <w:rsid w:val="00734A4C"/>
    <w:rsid w:val="00735018"/>
    <w:rsid w:val="00735B4B"/>
    <w:rsid w:val="007364C1"/>
    <w:rsid w:val="007368EA"/>
    <w:rsid w:val="00737788"/>
    <w:rsid w:val="00740C56"/>
    <w:rsid w:val="00741E86"/>
    <w:rsid w:val="00742BAA"/>
    <w:rsid w:val="007430B3"/>
    <w:rsid w:val="00744155"/>
    <w:rsid w:val="0074525E"/>
    <w:rsid w:val="00745F71"/>
    <w:rsid w:val="00750377"/>
    <w:rsid w:val="0075079F"/>
    <w:rsid w:val="00750B57"/>
    <w:rsid w:val="0075113A"/>
    <w:rsid w:val="007515E9"/>
    <w:rsid w:val="00751655"/>
    <w:rsid w:val="00751B1C"/>
    <w:rsid w:val="00754BBC"/>
    <w:rsid w:val="007550E9"/>
    <w:rsid w:val="007552DB"/>
    <w:rsid w:val="007569D5"/>
    <w:rsid w:val="0075757A"/>
    <w:rsid w:val="007602E0"/>
    <w:rsid w:val="00760721"/>
    <w:rsid w:val="0076080E"/>
    <w:rsid w:val="00760DD4"/>
    <w:rsid w:val="00761A0D"/>
    <w:rsid w:val="00762042"/>
    <w:rsid w:val="0076246A"/>
    <w:rsid w:val="00762B29"/>
    <w:rsid w:val="007646A8"/>
    <w:rsid w:val="00764B3D"/>
    <w:rsid w:val="00765137"/>
    <w:rsid w:val="007653A8"/>
    <w:rsid w:val="00766884"/>
    <w:rsid w:val="007678FF"/>
    <w:rsid w:val="00767ACD"/>
    <w:rsid w:val="00767C39"/>
    <w:rsid w:val="00770912"/>
    <w:rsid w:val="00770DAA"/>
    <w:rsid w:val="00770F87"/>
    <w:rsid w:val="00771A73"/>
    <w:rsid w:val="00772FEF"/>
    <w:rsid w:val="007730D2"/>
    <w:rsid w:val="00784059"/>
    <w:rsid w:val="007852B4"/>
    <w:rsid w:val="007855C9"/>
    <w:rsid w:val="007856DC"/>
    <w:rsid w:val="00785AE1"/>
    <w:rsid w:val="00787571"/>
    <w:rsid w:val="00791437"/>
    <w:rsid w:val="00791A29"/>
    <w:rsid w:val="007924B5"/>
    <w:rsid w:val="00792FDF"/>
    <w:rsid w:val="007935DE"/>
    <w:rsid w:val="00794868"/>
    <w:rsid w:val="00795A88"/>
    <w:rsid w:val="00795DDC"/>
    <w:rsid w:val="007A0A75"/>
    <w:rsid w:val="007A0B86"/>
    <w:rsid w:val="007A1F75"/>
    <w:rsid w:val="007A2AA2"/>
    <w:rsid w:val="007A2AD0"/>
    <w:rsid w:val="007A3048"/>
    <w:rsid w:val="007A3950"/>
    <w:rsid w:val="007A3B4C"/>
    <w:rsid w:val="007A46D1"/>
    <w:rsid w:val="007A595B"/>
    <w:rsid w:val="007A6AED"/>
    <w:rsid w:val="007A71D6"/>
    <w:rsid w:val="007A751E"/>
    <w:rsid w:val="007B0709"/>
    <w:rsid w:val="007B0E72"/>
    <w:rsid w:val="007B1188"/>
    <w:rsid w:val="007B17A2"/>
    <w:rsid w:val="007B19CF"/>
    <w:rsid w:val="007B1A15"/>
    <w:rsid w:val="007B2082"/>
    <w:rsid w:val="007B2FA6"/>
    <w:rsid w:val="007B3031"/>
    <w:rsid w:val="007B37AC"/>
    <w:rsid w:val="007B3BA8"/>
    <w:rsid w:val="007B40E6"/>
    <w:rsid w:val="007B6904"/>
    <w:rsid w:val="007C14D2"/>
    <w:rsid w:val="007C1FD9"/>
    <w:rsid w:val="007C3A35"/>
    <w:rsid w:val="007C5319"/>
    <w:rsid w:val="007C5DE5"/>
    <w:rsid w:val="007C6C77"/>
    <w:rsid w:val="007C6D44"/>
    <w:rsid w:val="007C76AA"/>
    <w:rsid w:val="007C7B10"/>
    <w:rsid w:val="007C7D32"/>
    <w:rsid w:val="007C7DDC"/>
    <w:rsid w:val="007D0466"/>
    <w:rsid w:val="007D0B56"/>
    <w:rsid w:val="007D1057"/>
    <w:rsid w:val="007D11C6"/>
    <w:rsid w:val="007D17CA"/>
    <w:rsid w:val="007D2F92"/>
    <w:rsid w:val="007D4432"/>
    <w:rsid w:val="007D44E5"/>
    <w:rsid w:val="007D46BF"/>
    <w:rsid w:val="007D4A30"/>
    <w:rsid w:val="007D55C4"/>
    <w:rsid w:val="007D6190"/>
    <w:rsid w:val="007D6B04"/>
    <w:rsid w:val="007D70F3"/>
    <w:rsid w:val="007D7447"/>
    <w:rsid w:val="007D7AFA"/>
    <w:rsid w:val="007E0C28"/>
    <w:rsid w:val="007E0C9B"/>
    <w:rsid w:val="007E15A9"/>
    <w:rsid w:val="007E34FB"/>
    <w:rsid w:val="007E35AD"/>
    <w:rsid w:val="007E3718"/>
    <w:rsid w:val="007E4449"/>
    <w:rsid w:val="007E5184"/>
    <w:rsid w:val="007E57DA"/>
    <w:rsid w:val="007E65F2"/>
    <w:rsid w:val="007E6C16"/>
    <w:rsid w:val="007E7D8A"/>
    <w:rsid w:val="007F0CBB"/>
    <w:rsid w:val="007F132B"/>
    <w:rsid w:val="007F1E7D"/>
    <w:rsid w:val="007F2C51"/>
    <w:rsid w:val="007F3C01"/>
    <w:rsid w:val="007F3EA3"/>
    <w:rsid w:val="007F3F74"/>
    <w:rsid w:val="007F4166"/>
    <w:rsid w:val="007F448C"/>
    <w:rsid w:val="007F52B9"/>
    <w:rsid w:val="007F531A"/>
    <w:rsid w:val="007F5382"/>
    <w:rsid w:val="007F620E"/>
    <w:rsid w:val="007F6F9B"/>
    <w:rsid w:val="007F706D"/>
    <w:rsid w:val="00803FC9"/>
    <w:rsid w:val="00804453"/>
    <w:rsid w:val="0080599F"/>
    <w:rsid w:val="00805B0D"/>
    <w:rsid w:val="00806011"/>
    <w:rsid w:val="00807802"/>
    <w:rsid w:val="0080789D"/>
    <w:rsid w:val="008100EE"/>
    <w:rsid w:val="00812017"/>
    <w:rsid w:val="00812CFB"/>
    <w:rsid w:val="008141C0"/>
    <w:rsid w:val="00814286"/>
    <w:rsid w:val="00814FFD"/>
    <w:rsid w:val="0081600E"/>
    <w:rsid w:val="00817036"/>
    <w:rsid w:val="0081772B"/>
    <w:rsid w:val="00817C62"/>
    <w:rsid w:val="008200AB"/>
    <w:rsid w:val="00820DC7"/>
    <w:rsid w:val="00821870"/>
    <w:rsid w:val="00821C65"/>
    <w:rsid w:val="00821EA1"/>
    <w:rsid w:val="00822067"/>
    <w:rsid w:val="00822A8C"/>
    <w:rsid w:val="00822B16"/>
    <w:rsid w:val="008235F2"/>
    <w:rsid w:val="00823626"/>
    <w:rsid w:val="008247C0"/>
    <w:rsid w:val="00827D40"/>
    <w:rsid w:val="008310FA"/>
    <w:rsid w:val="008311E4"/>
    <w:rsid w:val="00831468"/>
    <w:rsid w:val="00831809"/>
    <w:rsid w:val="00831E07"/>
    <w:rsid w:val="00835E8A"/>
    <w:rsid w:val="00841348"/>
    <w:rsid w:val="00843611"/>
    <w:rsid w:val="00843FC3"/>
    <w:rsid w:val="00846A36"/>
    <w:rsid w:val="00846AB8"/>
    <w:rsid w:val="00847A84"/>
    <w:rsid w:val="008500A8"/>
    <w:rsid w:val="0085143D"/>
    <w:rsid w:val="00852E48"/>
    <w:rsid w:val="00854375"/>
    <w:rsid w:val="008549C2"/>
    <w:rsid w:val="00855181"/>
    <w:rsid w:val="00855653"/>
    <w:rsid w:val="00856073"/>
    <w:rsid w:val="00860D75"/>
    <w:rsid w:val="00861409"/>
    <w:rsid w:val="008618D1"/>
    <w:rsid w:val="00862C34"/>
    <w:rsid w:val="00864684"/>
    <w:rsid w:val="00864BEE"/>
    <w:rsid w:val="00865375"/>
    <w:rsid w:val="008666AC"/>
    <w:rsid w:val="008669E0"/>
    <w:rsid w:val="00867F8C"/>
    <w:rsid w:val="00867FF6"/>
    <w:rsid w:val="00870CEE"/>
    <w:rsid w:val="00872923"/>
    <w:rsid w:val="008734D4"/>
    <w:rsid w:val="00876C17"/>
    <w:rsid w:val="00877407"/>
    <w:rsid w:val="008804FC"/>
    <w:rsid w:val="00880899"/>
    <w:rsid w:val="00880C81"/>
    <w:rsid w:val="00881BD5"/>
    <w:rsid w:val="00884050"/>
    <w:rsid w:val="00884690"/>
    <w:rsid w:val="0088624B"/>
    <w:rsid w:val="008866B5"/>
    <w:rsid w:val="00886D73"/>
    <w:rsid w:val="00887051"/>
    <w:rsid w:val="008873CA"/>
    <w:rsid w:val="00887FF8"/>
    <w:rsid w:val="00890BE2"/>
    <w:rsid w:val="00890FE0"/>
    <w:rsid w:val="008911ED"/>
    <w:rsid w:val="00892B48"/>
    <w:rsid w:val="0089378C"/>
    <w:rsid w:val="00894DCF"/>
    <w:rsid w:val="00895773"/>
    <w:rsid w:val="008960BF"/>
    <w:rsid w:val="00896E36"/>
    <w:rsid w:val="008A0007"/>
    <w:rsid w:val="008A03B3"/>
    <w:rsid w:val="008A03DD"/>
    <w:rsid w:val="008A194D"/>
    <w:rsid w:val="008A3691"/>
    <w:rsid w:val="008A39E0"/>
    <w:rsid w:val="008A402F"/>
    <w:rsid w:val="008A50F5"/>
    <w:rsid w:val="008A533F"/>
    <w:rsid w:val="008A5AF2"/>
    <w:rsid w:val="008A705B"/>
    <w:rsid w:val="008A76B0"/>
    <w:rsid w:val="008A7746"/>
    <w:rsid w:val="008B2947"/>
    <w:rsid w:val="008B3FB0"/>
    <w:rsid w:val="008B6036"/>
    <w:rsid w:val="008B64A2"/>
    <w:rsid w:val="008B7033"/>
    <w:rsid w:val="008B7350"/>
    <w:rsid w:val="008B7B69"/>
    <w:rsid w:val="008C0638"/>
    <w:rsid w:val="008C0883"/>
    <w:rsid w:val="008C0EDE"/>
    <w:rsid w:val="008C12B7"/>
    <w:rsid w:val="008C3F3C"/>
    <w:rsid w:val="008C435E"/>
    <w:rsid w:val="008C443E"/>
    <w:rsid w:val="008C53DD"/>
    <w:rsid w:val="008C57E3"/>
    <w:rsid w:val="008C5949"/>
    <w:rsid w:val="008C5DCC"/>
    <w:rsid w:val="008C715F"/>
    <w:rsid w:val="008D038D"/>
    <w:rsid w:val="008D13FE"/>
    <w:rsid w:val="008D167E"/>
    <w:rsid w:val="008D1A18"/>
    <w:rsid w:val="008D1DB1"/>
    <w:rsid w:val="008D2F19"/>
    <w:rsid w:val="008D407A"/>
    <w:rsid w:val="008D4111"/>
    <w:rsid w:val="008D5A58"/>
    <w:rsid w:val="008D5A74"/>
    <w:rsid w:val="008D5B1F"/>
    <w:rsid w:val="008D7BE0"/>
    <w:rsid w:val="008E114D"/>
    <w:rsid w:val="008E12B2"/>
    <w:rsid w:val="008E1F79"/>
    <w:rsid w:val="008E2DCD"/>
    <w:rsid w:val="008E2E97"/>
    <w:rsid w:val="008E3936"/>
    <w:rsid w:val="008E436C"/>
    <w:rsid w:val="008E5ED8"/>
    <w:rsid w:val="008E6282"/>
    <w:rsid w:val="008E6E94"/>
    <w:rsid w:val="008E7668"/>
    <w:rsid w:val="008F36FB"/>
    <w:rsid w:val="008F3A06"/>
    <w:rsid w:val="008F4C9E"/>
    <w:rsid w:val="008F51FA"/>
    <w:rsid w:val="008F56EA"/>
    <w:rsid w:val="008F5840"/>
    <w:rsid w:val="008F5A6A"/>
    <w:rsid w:val="008F62A0"/>
    <w:rsid w:val="009019E6"/>
    <w:rsid w:val="009024F6"/>
    <w:rsid w:val="00902910"/>
    <w:rsid w:val="00904810"/>
    <w:rsid w:val="0090699E"/>
    <w:rsid w:val="00906AFC"/>
    <w:rsid w:val="009070B4"/>
    <w:rsid w:val="00907A43"/>
    <w:rsid w:val="00907DBD"/>
    <w:rsid w:val="009108F4"/>
    <w:rsid w:val="00910B8A"/>
    <w:rsid w:val="00911778"/>
    <w:rsid w:val="00912086"/>
    <w:rsid w:val="00912108"/>
    <w:rsid w:val="009125F9"/>
    <w:rsid w:val="00913B6C"/>
    <w:rsid w:val="00913EC7"/>
    <w:rsid w:val="009142D1"/>
    <w:rsid w:val="0091461A"/>
    <w:rsid w:val="0091555C"/>
    <w:rsid w:val="00916644"/>
    <w:rsid w:val="00917ECA"/>
    <w:rsid w:val="00920D81"/>
    <w:rsid w:val="00921745"/>
    <w:rsid w:val="00922341"/>
    <w:rsid w:val="0092247F"/>
    <w:rsid w:val="0092348E"/>
    <w:rsid w:val="00923901"/>
    <w:rsid w:val="00925041"/>
    <w:rsid w:val="00925F56"/>
    <w:rsid w:val="0092677C"/>
    <w:rsid w:val="0092681B"/>
    <w:rsid w:val="00926E71"/>
    <w:rsid w:val="009273DB"/>
    <w:rsid w:val="009300C9"/>
    <w:rsid w:val="00931377"/>
    <w:rsid w:val="009326D8"/>
    <w:rsid w:val="0093365D"/>
    <w:rsid w:val="0093382D"/>
    <w:rsid w:val="0093543B"/>
    <w:rsid w:val="0093544B"/>
    <w:rsid w:val="00940EF7"/>
    <w:rsid w:val="00941276"/>
    <w:rsid w:val="009418EC"/>
    <w:rsid w:val="00941C1E"/>
    <w:rsid w:val="009420D2"/>
    <w:rsid w:val="0094259E"/>
    <w:rsid w:val="00942C3C"/>
    <w:rsid w:val="00943F74"/>
    <w:rsid w:val="0094606C"/>
    <w:rsid w:val="009464E2"/>
    <w:rsid w:val="009465E6"/>
    <w:rsid w:val="0094688A"/>
    <w:rsid w:val="00946C0C"/>
    <w:rsid w:val="00950239"/>
    <w:rsid w:val="0095218A"/>
    <w:rsid w:val="009528B6"/>
    <w:rsid w:val="009532C1"/>
    <w:rsid w:val="00953CDB"/>
    <w:rsid w:val="00953EF6"/>
    <w:rsid w:val="00954DF5"/>
    <w:rsid w:val="009618E2"/>
    <w:rsid w:val="00961B5F"/>
    <w:rsid w:val="00963158"/>
    <w:rsid w:val="009650D6"/>
    <w:rsid w:val="009651DA"/>
    <w:rsid w:val="0096621D"/>
    <w:rsid w:val="0096640F"/>
    <w:rsid w:val="0096744B"/>
    <w:rsid w:val="009704E4"/>
    <w:rsid w:val="00970C0E"/>
    <w:rsid w:val="00971493"/>
    <w:rsid w:val="00971F39"/>
    <w:rsid w:val="00973146"/>
    <w:rsid w:val="00974C84"/>
    <w:rsid w:val="00975E2C"/>
    <w:rsid w:val="00975FAA"/>
    <w:rsid w:val="00981A05"/>
    <w:rsid w:val="00981D0F"/>
    <w:rsid w:val="00982FF9"/>
    <w:rsid w:val="00984A1B"/>
    <w:rsid w:val="0098522A"/>
    <w:rsid w:val="009855E9"/>
    <w:rsid w:val="00985DF9"/>
    <w:rsid w:val="0098640B"/>
    <w:rsid w:val="00986E87"/>
    <w:rsid w:val="0099025D"/>
    <w:rsid w:val="00990E3B"/>
    <w:rsid w:val="00991331"/>
    <w:rsid w:val="009929CF"/>
    <w:rsid w:val="00992C7E"/>
    <w:rsid w:val="00994066"/>
    <w:rsid w:val="009946AA"/>
    <w:rsid w:val="00995238"/>
    <w:rsid w:val="00996165"/>
    <w:rsid w:val="00997240"/>
    <w:rsid w:val="009A0124"/>
    <w:rsid w:val="009A2571"/>
    <w:rsid w:val="009A2C72"/>
    <w:rsid w:val="009A366B"/>
    <w:rsid w:val="009A36EA"/>
    <w:rsid w:val="009A5823"/>
    <w:rsid w:val="009A5E22"/>
    <w:rsid w:val="009A6AAD"/>
    <w:rsid w:val="009A7866"/>
    <w:rsid w:val="009B0C02"/>
    <w:rsid w:val="009B0CE0"/>
    <w:rsid w:val="009B0DC1"/>
    <w:rsid w:val="009B0E3D"/>
    <w:rsid w:val="009B0F1A"/>
    <w:rsid w:val="009B1297"/>
    <w:rsid w:val="009B1F29"/>
    <w:rsid w:val="009B3A6D"/>
    <w:rsid w:val="009B5A45"/>
    <w:rsid w:val="009B6F29"/>
    <w:rsid w:val="009B7570"/>
    <w:rsid w:val="009C021D"/>
    <w:rsid w:val="009C133A"/>
    <w:rsid w:val="009C19EC"/>
    <w:rsid w:val="009C1C9B"/>
    <w:rsid w:val="009C2481"/>
    <w:rsid w:val="009C2B72"/>
    <w:rsid w:val="009C347E"/>
    <w:rsid w:val="009C3689"/>
    <w:rsid w:val="009C5900"/>
    <w:rsid w:val="009C590A"/>
    <w:rsid w:val="009C6102"/>
    <w:rsid w:val="009C6812"/>
    <w:rsid w:val="009C7DC9"/>
    <w:rsid w:val="009D0CC3"/>
    <w:rsid w:val="009D13A8"/>
    <w:rsid w:val="009D2311"/>
    <w:rsid w:val="009D3B2B"/>
    <w:rsid w:val="009D4975"/>
    <w:rsid w:val="009D5BF8"/>
    <w:rsid w:val="009D6E7C"/>
    <w:rsid w:val="009E0838"/>
    <w:rsid w:val="009E550A"/>
    <w:rsid w:val="009E5664"/>
    <w:rsid w:val="009E5D69"/>
    <w:rsid w:val="009E69AC"/>
    <w:rsid w:val="009F01BD"/>
    <w:rsid w:val="009F05B3"/>
    <w:rsid w:val="009F0806"/>
    <w:rsid w:val="009F19DC"/>
    <w:rsid w:val="009F23AD"/>
    <w:rsid w:val="009F2A8B"/>
    <w:rsid w:val="009F5722"/>
    <w:rsid w:val="009F5F0E"/>
    <w:rsid w:val="009F5FDB"/>
    <w:rsid w:val="009F7291"/>
    <w:rsid w:val="009F77D2"/>
    <w:rsid w:val="00A00124"/>
    <w:rsid w:val="00A001A5"/>
    <w:rsid w:val="00A02DC2"/>
    <w:rsid w:val="00A0518B"/>
    <w:rsid w:val="00A0546F"/>
    <w:rsid w:val="00A05DC7"/>
    <w:rsid w:val="00A05DEC"/>
    <w:rsid w:val="00A05F3E"/>
    <w:rsid w:val="00A0632B"/>
    <w:rsid w:val="00A0632F"/>
    <w:rsid w:val="00A06C97"/>
    <w:rsid w:val="00A07351"/>
    <w:rsid w:val="00A106F7"/>
    <w:rsid w:val="00A108C2"/>
    <w:rsid w:val="00A1367E"/>
    <w:rsid w:val="00A13863"/>
    <w:rsid w:val="00A14916"/>
    <w:rsid w:val="00A153C2"/>
    <w:rsid w:val="00A1544D"/>
    <w:rsid w:val="00A1705B"/>
    <w:rsid w:val="00A172F1"/>
    <w:rsid w:val="00A2039C"/>
    <w:rsid w:val="00A209D6"/>
    <w:rsid w:val="00A2112E"/>
    <w:rsid w:val="00A21FAD"/>
    <w:rsid w:val="00A2296B"/>
    <w:rsid w:val="00A22B8B"/>
    <w:rsid w:val="00A24C4E"/>
    <w:rsid w:val="00A25566"/>
    <w:rsid w:val="00A25E20"/>
    <w:rsid w:val="00A30CBF"/>
    <w:rsid w:val="00A316F1"/>
    <w:rsid w:val="00A32781"/>
    <w:rsid w:val="00A33E02"/>
    <w:rsid w:val="00A3515E"/>
    <w:rsid w:val="00A434D7"/>
    <w:rsid w:val="00A445E8"/>
    <w:rsid w:val="00A46132"/>
    <w:rsid w:val="00A475FB"/>
    <w:rsid w:val="00A47729"/>
    <w:rsid w:val="00A508F1"/>
    <w:rsid w:val="00A5121A"/>
    <w:rsid w:val="00A51955"/>
    <w:rsid w:val="00A537CE"/>
    <w:rsid w:val="00A5395A"/>
    <w:rsid w:val="00A54CD7"/>
    <w:rsid w:val="00A54F9E"/>
    <w:rsid w:val="00A55985"/>
    <w:rsid w:val="00A55D24"/>
    <w:rsid w:val="00A603C5"/>
    <w:rsid w:val="00A605BC"/>
    <w:rsid w:val="00A60C44"/>
    <w:rsid w:val="00A60EE3"/>
    <w:rsid w:val="00A611A7"/>
    <w:rsid w:val="00A62384"/>
    <w:rsid w:val="00A62E75"/>
    <w:rsid w:val="00A6477D"/>
    <w:rsid w:val="00A64A4F"/>
    <w:rsid w:val="00A660B2"/>
    <w:rsid w:val="00A6685A"/>
    <w:rsid w:val="00A66C7C"/>
    <w:rsid w:val="00A66F41"/>
    <w:rsid w:val="00A67629"/>
    <w:rsid w:val="00A67831"/>
    <w:rsid w:val="00A67B1C"/>
    <w:rsid w:val="00A708FD"/>
    <w:rsid w:val="00A71341"/>
    <w:rsid w:val="00A72D8F"/>
    <w:rsid w:val="00A7350D"/>
    <w:rsid w:val="00A735CC"/>
    <w:rsid w:val="00A74AF2"/>
    <w:rsid w:val="00A75081"/>
    <w:rsid w:val="00A7519F"/>
    <w:rsid w:val="00A75A08"/>
    <w:rsid w:val="00A76081"/>
    <w:rsid w:val="00A766FE"/>
    <w:rsid w:val="00A77D74"/>
    <w:rsid w:val="00A809B8"/>
    <w:rsid w:val="00A82177"/>
    <w:rsid w:val="00A825B2"/>
    <w:rsid w:val="00A83188"/>
    <w:rsid w:val="00A83315"/>
    <w:rsid w:val="00A85E7D"/>
    <w:rsid w:val="00A91340"/>
    <w:rsid w:val="00A916FF"/>
    <w:rsid w:val="00A91CFC"/>
    <w:rsid w:val="00A91F33"/>
    <w:rsid w:val="00A9356F"/>
    <w:rsid w:val="00A93648"/>
    <w:rsid w:val="00A9364B"/>
    <w:rsid w:val="00A93CAB"/>
    <w:rsid w:val="00A95DE4"/>
    <w:rsid w:val="00A960FA"/>
    <w:rsid w:val="00A96D08"/>
    <w:rsid w:val="00A96ECE"/>
    <w:rsid w:val="00A970AF"/>
    <w:rsid w:val="00A978BC"/>
    <w:rsid w:val="00A978F2"/>
    <w:rsid w:val="00AA04FF"/>
    <w:rsid w:val="00AA0885"/>
    <w:rsid w:val="00AA3443"/>
    <w:rsid w:val="00AA35F1"/>
    <w:rsid w:val="00AA6420"/>
    <w:rsid w:val="00AA64D7"/>
    <w:rsid w:val="00AA6EB3"/>
    <w:rsid w:val="00AB105C"/>
    <w:rsid w:val="00AB2068"/>
    <w:rsid w:val="00AB2349"/>
    <w:rsid w:val="00AB2CC2"/>
    <w:rsid w:val="00AB5B1C"/>
    <w:rsid w:val="00AB7150"/>
    <w:rsid w:val="00AB71DE"/>
    <w:rsid w:val="00AC222B"/>
    <w:rsid w:val="00AC269E"/>
    <w:rsid w:val="00AC4F7F"/>
    <w:rsid w:val="00AC7925"/>
    <w:rsid w:val="00AC7FA1"/>
    <w:rsid w:val="00AD03F4"/>
    <w:rsid w:val="00AD06B8"/>
    <w:rsid w:val="00AD13A4"/>
    <w:rsid w:val="00AD259D"/>
    <w:rsid w:val="00AD2E15"/>
    <w:rsid w:val="00AD43AB"/>
    <w:rsid w:val="00AD49CB"/>
    <w:rsid w:val="00AD4C9B"/>
    <w:rsid w:val="00AD5652"/>
    <w:rsid w:val="00AD6DD2"/>
    <w:rsid w:val="00AD6E4B"/>
    <w:rsid w:val="00AE05F9"/>
    <w:rsid w:val="00AE0C7D"/>
    <w:rsid w:val="00AE2095"/>
    <w:rsid w:val="00AE57FA"/>
    <w:rsid w:val="00AE5866"/>
    <w:rsid w:val="00AE5E36"/>
    <w:rsid w:val="00AE77B1"/>
    <w:rsid w:val="00AF0274"/>
    <w:rsid w:val="00AF0520"/>
    <w:rsid w:val="00AF12B7"/>
    <w:rsid w:val="00AF1E74"/>
    <w:rsid w:val="00AF2604"/>
    <w:rsid w:val="00AF26AD"/>
    <w:rsid w:val="00AF2F45"/>
    <w:rsid w:val="00AF47B5"/>
    <w:rsid w:val="00AF4DD6"/>
    <w:rsid w:val="00AF6421"/>
    <w:rsid w:val="00AF685D"/>
    <w:rsid w:val="00AF6F5C"/>
    <w:rsid w:val="00AF7D67"/>
    <w:rsid w:val="00B003AC"/>
    <w:rsid w:val="00B00988"/>
    <w:rsid w:val="00B013C9"/>
    <w:rsid w:val="00B016C6"/>
    <w:rsid w:val="00B01C90"/>
    <w:rsid w:val="00B01FAA"/>
    <w:rsid w:val="00B02DDC"/>
    <w:rsid w:val="00B039D5"/>
    <w:rsid w:val="00B04037"/>
    <w:rsid w:val="00B05D08"/>
    <w:rsid w:val="00B06562"/>
    <w:rsid w:val="00B06A67"/>
    <w:rsid w:val="00B10450"/>
    <w:rsid w:val="00B11549"/>
    <w:rsid w:val="00B12FF0"/>
    <w:rsid w:val="00B13F8F"/>
    <w:rsid w:val="00B14E1F"/>
    <w:rsid w:val="00B15501"/>
    <w:rsid w:val="00B158D0"/>
    <w:rsid w:val="00B15AA8"/>
    <w:rsid w:val="00B15CD3"/>
    <w:rsid w:val="00B15E15"/>
    <w:rsid w:val="00B15E64"/>
    <w:rsid w:val="00B1683C"/>
    <w:rsid w:val="00B1720D"/>
    <w:rsid w:val="00B1737C"/>
    <w:rsid w:val="00B203E0"/>
    <w:rsid w:val="00B2365F"/>
    <w:rsid w:val="00B24CF4"/>
    <w:rsid w:val="00B2510F"/>
    <w:rsid w:val="00B25EB2"/>
    <w:rsid w:val="00B26E6A"/>
    <w:rsid w:val="00B26E74"/>
    <w:rsid w:val="00B32CFF"/>
    <w:rsid w:val="00B34DEA"/>
    <w:rsid w:val="00B3578D"/>
    <w:rsid w:val="00B36650"/>
    <w:rsid w:val="00B4070B"/>
    <w:rsid w:val="00B42B77"/>
    <w:rsid w:val="00B42D14"/>
    <w:rsid w:val="00B43BCC"/>
    <w:rsid w:val="00B44523"/>
    <w:rsid w:val="00B46043"/>
    <w:rsid w:val="00B4798D"/>
    <w:rsid w:val="00B50946"/>
    <w:rsid w:val="00B5282F"/>
    <w:rsid w:val="00B538AC"/>
    <w:rsid w:val="00B5540E"/>
    <w:rsid w:val="00B55760"/>
    <w:rsid w:val="00B55E6A"/>
    <w:rsid w:val="00B5632C"/>
    <w:rsid w:val="00B564ED"/>
    <w:rsid w:val="00B566A7"/>
    <w:rsid w:val="00B566F6"/>
    <w:rsid w:val="00B57244"/>
    <w:rsid w:val="00B57279"/>
    <w:rsid w:val="00B61698"/>
    <w:rsid w:val="00B658B5"/>
    <w:rsid w:val="00B65C3F"/>
    <w:rsid w:val="00B6609A"/>
    <w:rsid w:val="00B6691A"/>
    <w:rsid w:val="00B66E95"/>
    <w:rsid w:val="00B66F05"/>
    <w:rsid w:val="00B67098"/>
    <w:rsid w:val="00B6721C"/>
    <w:rsid w:val="00B675BF"/>
    <w:rsid w:val="00B718AC"/>
    <w:rsid w:val="00B72C56"/>
    <w:rsid w:val="00B72D5B"/>
    <w:rsid w:val="00B74A28"/>
    <w:rsid w:val="00B757BC"/>
    <w:rsid w:val="00B75D02"/>
    <w:rsid w:val="00B763F1"/>
    <w:rsid w:val="00B76F0D"/>
    <w:rsid w:val="00B809CA"/>
    <w:rsid w:val="00B80C35"/>
    <w:rsid w:val="00B81AF0"/>
    <w:rsid w:val="00B82ECC"/>
    <w:rsid w:val="00B82F0C"/>
    <w:rsid w:val="00B831AF"/>
    <w:rsid w:val="00B84E5F"/>
    <w:rsid w:val="00B9264C"/>
    <w:rsid w:val="00B931FF"/>
    <w:rsid w:val="00B9383D"/>
    <w:rsid w:val="00B94ECD"/>
    <w:rsid w:val="00BA001F"/>
    <w:rsid w:val="00BA0185"/>
    <w:rsid w:val="00BA04A0"/>
    <w:rsid w:val="00BA09CA"/>
    <w:rsid w:val="00BA0DA8"/>
    <w:rsid w:val="00BA1345"/>
    <w:rsid w:val="00BA1CF4"/>
    <w:rsid w:val="00BA2E0E"/>
    <w:rsid w:val="00BA38F2"/>
    <w:rsid w:val="00BA43C9"/>
    <w:rsid w:val="00BA5C4F"/>
    <w:rsid w:val="00BA628D"/>
    <w:rsid w:val="00BA71A9"/>
    <w:rsid w:val="00BA748D"/>
    <w:rsid w:val="00BB111E"/>
    <w:rsid w:val="00BB17B9"/>
    <w:rsid w:val="00BB3E80"/>
    <w:rsid w:val="00BB46E1"/>
    <w:rsid w:val="00BB6676"/>
    <w:rsid w:val="00BB7491"/>
    <w:rsid w:val="00BC19F0"/>
    <w:rsid w:val="00BC5144"/>
    <w:rsid w:val="00BC61DF"/>
    <w:rsid w:val="00BC6357"/>
    <w:rsid w:val="00BC63CB"/>
    <w:rsid w:val="00BC7124"/>
    <w:rsid w:val="00BC7132"/>
    <w:rsid w:val="00BD04A5"/>
    <w:rsid w:val="00BD1B6E"/>
    <w:rsid w:val="00BD3D51"/>
    <w:rsid w:val="00BD4345"/>
    <w:rsid w:val="00BD48AE"/>
    <w:rsid w:val="00BD4FA7"/>
    <w:rsid w:val="00BD6525"/>
    <w:rsid w:val="00BD6CB6"/>
    <w:rsid w:val="00BD6EC8"/>
    <w:rsid w:val="00BE09E4"/>
    <w:rsid w:val="00BE137D"/>
    <w:rsid w:val="00BE142E"/>
    <w:rsid w:val="00BE2D9E"/>
    <w:rsid w:val="00BE38CD"/>
    <w:rsid w:val="00BE3D15"/>
    <w:rsid w:val="00BE424D"/>
    <w:rsid w:val="00BE495F"/>
    <w:rsid w:val="00BE4976"/>
    <w:rsid w:val="00BE61EC"/>
    <w:rsid w:val="00BE7C04"/>
    <w:rsid w:val="00BF0DDD"/>
    <w:rsid w:val="00BF0DDF"/>
    <w:rsid w:val="00BF1BD5"/>
    <w:rsid w:val="00BF1C76"/>
    <w:rsid w:val="00BF2301"/>
    <w:rsid w:val="00BF2867"/>
    <w:rsid w:val="00BF2F1A"/>
    <w:rsid w:val="00BF3805"/>
    <w:rsid w:val="00BF38D1"/>
    <w:rsid w:val="00BF3A13"/>
    <w:rsid w:val="00BF4758"/>
    <w:rsid w:val="00BF551A"/>
    <w:rsid w:val="00BF5A36"/>
    <w:rsid w:val="00BF683A"/>
    <w:rsid w:val="00BF6992"/>
    <w:rsid w:val="00BF6A7C"/>
    <w:rsid w:val="00BF7429"/>
    <w:rsid w:val="00C0016E"/>
    <w:rsid w:val="00C001CA"/>
    <w:rsid w:val="00C00FFF"/>
    <w:rsid w:val="00C01194"/>
    <w:rsid w:val="00C02BB8"/>
    <w:rsid w:val="00C03E00"/>
    <w:rsid w:val="00C04058"/>
    <w:rsid w:val="00C044E3"/>
    <w:rsid w:val="00C05D86"/>
    <w:rsid w:val="00C05F40"/>
    <w:rsid w:val="00C0645E"/>
    <w:rsid w:val="00C06D99"/>
    <w:rsid w:val="00C06E43"/>
    <w:rsid w:val="00C101FB"/>
    <w:rsid w:val="00C1084D"/>
    <w:rsid w:val="00C10867"/>
    <w:rsid w:val="00C10A2B"/>
    <w:rsid w:val="00C121D1"/>
    <w:rsid w:val="00C123A4"/>
    <w:rsid w:val="00C123B2"/>
    <w:rsid w:val="00C13323"/>
    <w:rsid w:val="00C142EE"/>
    <w:rsid w:val="00C156A3"/>
    <w:rsid w:val="00C16220"/>
    <w:rsid w:val="00C169A3"/>
    <w:rsid w:val="00C2020F"/>
    <w:rsid w:val="00C21002"/>
    <w:rsid w:val="00C21596"/>
    <w:rsid w:val="00C219F3"/>
    <w:rsid w:val="00C21F66"/>
    <w:rsid w:val="00C22C2E"/>
    <w:rsid w:val="00C233A7"/>
    <w:rsid w:val="00C23746"/>
    <w:rsid w:val="00C24032"/>
    <w:rsid w:val="00C24446"/>
    <w:rsid w:val="00C24FC0"/>
    <w:rsid w:val="00C26DAE"/>
    <w:rsid w:val="00C26FFC"/>
    <w:rsid w:val="00C275A9"/>
    <w:rsid w:val="00C30610"/>
    <w:rsid w:val="00C322EE"/>
    <w:rsid w:val="00C323D3"/>
    <w:rsid w:val="00C326DE"/>
    <w:rsid w:val="00C32833"/>
    <w:rsid w:val="00C32D53"/>
    <w:rsid w:val="00C34B4A"/>
    <w:rsid w:val="00C3533C"/>
    <w:rsid w:val="00C355CD"/>
    <w:rsid w:val="00C365E0"/>
    <w:rsid w:val="00C36F4D"/>
    <w:rsid w:val="00C36F6D"/>
    <w:rsid w:val="00C4115E"/>
    <w:rsid w:val="00C41A98"/>
    <w:rsid w:val="00C42118"/>
    <w:rsid w:val="00C42A73"/>
    <w:rsid w:val="00C42FBB"/>
    <w:rsid w:val="00C43050"/>
    <w:rsid w:val="00C430A5"/>
    <w:rsid w:val="00C43358"/>
    <w:rsid w:val="00C4470E"/>
    <w:rsid w:val="00C45149"/>
    <w:rsid w:val="00C47602"/>
    <w:rsid w:val="00C5083E"/>
    <w:rsid w:val="00C508B0"/>
    <w:rsid w:val="00C518C1"/>
    <w:rsid w:val="00C51A02"/>
    <w:rsid w:val="00C51FF5"/>
    <w:rsid w:val="00C537D2"/>
    <w:rsid w:val="00C5435A"/>
    <w:rsid w:val="00C54402"/>
    <w:rsid w:val="00C547AF"/>
    <w:rsid w:val="00C55B98"/>
    <w:rsid w:val="00C56D35"/>
    <w:rsid w:val="00C6091B"/>
    <w:rsid w:val="00C62CDA"/>
    <w:rsid w:val="00C63F7A"/>
    <w:rsid w:val="00C65D92"/>
    <w:rsid w:val="00C67C27"/>
    <w:rsid w:val="00C70022"/>
    <w:rsid w:val="00C70302"/>
    <w:rsid w:val="00C719D7"/>
    <w:rsid w:val="00C71A22"/>
    <w:rsid w:val="00C7273E"/>
    <w:rsid w:val="00C72E1F"/>
    <w:rsid w:val="00C7324A"/>
    <w:rsid w:val="00C74755"/>
    <w:rsid w:val="00C754AF"/>
    <w:rsid w:val="00C76962"/>
    <w:rsid w:val="00C76DE9"/>
    <w:rsid w:val="00C7720B"/>
    <w:rsid w:val="00C7750F"/>
    <w:rsid w:val="00C7799A"/>
    <w:rsid w:val="00C77A99"/>
    <w:rsid w:val="00C80313"/>
    <w:rsid w:val="00C80DFE"/>
    <w:rsid w:val="00C81658"/>
    <w:rsid w:val="00C81E04"/>
    <w:rsid w:val="00C82017"/>
    <w:rsid w:val="00C82034"/>
    <w:rsid w:val="00C82872"/>
    <w:rsid w:val="00C83385"/>
    <w:rsid w:val="00C8378D"/>
    <w:rsid w:val="00C8592E"/>
    <w:rsid w:val="00C86C8B"/>
    <w:rsid w:val="00C87250"/>
    <w:rsid w:val="00C8787C"/>
    <w:rsid w:val="00C879D6"/>
    <w:rsid w:val="00C902FB"/>
    <w:rsid w:val="00C90B9E"/>
    <w:rsid w:val="00C90D61"/>
    <w:rsid w:val="00C9171C"/>
    <w:rsid w:val="00C92B8E"/>
    <w:rsid w:val="00C92CA0"/>
    <w:rsid w:val="00C93280"/>
    <w:rsid w:val="00C93517"/>
    <w:rsid w:val="00C93718"/>
    <w:rsid w:val="00C9468C"/>
    <w:rsid w:val="00C94C99"/>
    <w:rsid w:val="00C95282"/>
    <w:rsid w:val="00C957A5"/>
    <w:rsid w:val="00C95D34"/>
    <w:rsid w:val="00C96EBF"/>
    <w:rsid w:val="00C9741B"/>
    <w:rsid w:val="00C97ECC"/>
    <w:rsid w:val="00CA07EE"/>
    <w:rsid w:val="00CA157B"/>
    <w:rsid w:val="00CA15E8"/>
    <w:rsid w:val="00CA1C13"/>
    <w:rsid w:val="00CA33C3"/>
    <w:rsid w:val="00CA423C"/>
    <w:rsid w:val="00CA47CC"/>
    <w:rsid w:val="00CA5296"/>
    <w:rsid w:val="00CA53B6"/>
    <w:rsid w:val="00CA5A8C"/>
    <w:rsid w:val="00CA62C4"/>
    <w:rsid w:val="00CA64BD"/>
    <w:rsid w:val="00CB1803"/>
    <w:rsid w:val="00CB2B0C"/>
    <w:rsid w:val="00CB2EFC"/>
    <w:rsid w:val="00CB34C0"/>
    <w:rsid w:val="00CB409F"/>
    <w:rsid w:val="00CB4638"/>
    <w:rsid w:val="00CB52A6"/>
    <w:rsid w:val="00CB5F14"/>
    <w:rsid w:val="00CB74C8"/>
    <w:rsid w:val="00CB77DC"/>
    <w:rsid w:val="00CC1860"/>
    <w:rsid w:val="00CC1AFE"/>
    <w:rsid w:val="00CC333C"/>
    <w:rsid w:val="00CC3815"/>
    <w:rsid w:val="00CC4162"/>
    <w:rsid w:val="00CC5256"/>
    <w:rsid w:val="00CD0520"/>
    <w:rsid w:val="00CD2BB0"/>
    <w:rsid w:val="00CD3364"/>
    <w:rsid w:val="00CD449C"/>
    <w:rsid w:val="00CD5039"/>
    <w:rsid w:val="00CD5247"/>
    <w:rsid w:val="00CD55A5"/>
    <w:rsid w:val="00CD779E"/>
    <w:rsid w:val="00CD7BB5"/>
    <w:rsid w:val="00CE07D9"/>
    <w:rsid w:val="00CE1E8F"/>
    <w:rsid w:val="00CE2446"/>
    <w:rsid w:val="00CE2B3A"/>
    <w:rsid w:val="00CE3892"/>
    <w:rsid w:val="00CE4DA0"/>
    <w:rsid w:val="00CE51BE"/>
    <w:rsid w:val="00CE69E5"/>
    <w:rsid w:val="00CE6A64"/>
    <w:rsid w:val="00CF1484"/>
    <w:rsid w:val="00CF21B0"/>
    <w:rsid w:val="00CF2226"/>
    <w:rsid w:val="00CF2804"/>
    <w:rsid w:val="00CF3C80"/>
    <w:rsid w:val="00CF3DCF"/>
    <w:rsid w:val="00CF4100"/>
    <w:rsid w:val="00CF4E5C"/>
    <w:rsid w:val="00CF5162"/>
    <w:rsid w:val="00CF63FF"/>
    <w:rsid w:val="00CF7321"/>
    <w:rsid w:val="00CF7517"/>
    <w:rsid w:val="00D00397"/>
    <w:rsid w:val="00D00977"/>
    <w:rsid w:val="00D00F9A"/>
    <w:rsid w:val="00D02184"/>
    <w:rsid w:val="00D03285"/>
    <w:rsid w:val="00D0363A"/>
    <w:rsid w:val="00D037ED"/>
    <w:rsid w:val="00D04563"/>
    <w:rsid w:val="00D04B63"/>
    <w:rsid w:val="00D06198"/>
    <w:rsid w:val="00D06D5E"/>
    <w:rsid w:val="00D10374"/>
    <w:rsid w:val="00D108FF"/>
    <w:rsid w:val="00D1192B"/>
    <w:rsid w:val="00D11FC0"/>
    <w:rsid w:val="00D13729"/>
    <w:rsid w:val="00D14460"/>
    <w:rsid w:val="00D14DDD"/>
    <w:rsid w:val="00D15802"/>
    <w:rsid w:val="00D15B3D"/>
    <w:rsid w:val="00D161FE"/>
    <w:rsid w:val="00D2057D"/>
    <w:rsid w:val="00D20B3A"/>
    <w:rsid w:val="00D2228D"/>
    <w:rsid w:val="00D22EF5"/>
    <w:rsid w:val="00D23334"/>
    <w:rsid w:val="00D255CC"/>
    <w:rsid w:val="00D25642"/>
    <w:rsid w:val="00D25757"/>
    <w:rsid w:val="00D26A8C"/>
    <w:rsid w:val="00D274E0"/>
    <w:rsid w:val="00D30305"/>
    <w:rsid w:val="00D3033D"/>
    <w:rsid w:val="00D30361"/>
    <w:rsid w:val="00D30892"/>
    <w:rsid w:val="00D30BA9"/>
    <w:rsid w:val="00D31781"/>
    <w:rsid w:val="00D33574"/>
    <w:rsid w:val="00D33C9E"/>
    <w:rsid w:val="00D343BE"/>
    <w:rsid w:val="00D3458A"/>
    <w:rsid w:val="00D3470B"/>
    <w:rsid w:val="00D35633"/>
    <w:rsid w:val="00D357AF"/>
    <w:rsid w:val="00D3601F"/>
    <w:rsid w:val="00D37617"/>
    <w:rsid w:val="00D37DE6"/>
    <w:rsid w:val="00D37FE2"/>
    <w:rsid w:val="00D40272"/>
    <w:rsid w:val="00D40755"/>
    <w:rsid w:val="00D410DB"/>
    <w:rsid w:val="00D4286D"/>
    <w:rsid w:val="00D42EB5"/>
    <w:rsid w:val="00D4373B"/>
    <w:rsid w:val="00D43B49"/>
    <w:rsid w:val="00D4438B"/>
    <w:rsid w:val="00D443EC"/>
    <w:rsid w:val="00D446F7"/>
    <w:rsid w:val="00D447C8"/>
    <w:rsid w:val="00D44F8D"/>
    <w:rsid w:val="00D455B7"/>
    <w:rsid w:val="00D456AB"/>
    <w:rsid w:val="00D45BF3"/>
    <w:rsid w:val="00D50F21"/>
    <w:rsid w:val="00D5142F"/>
    <w:rsid w:val="00D5211E"/>
    <w:rsid w:val="00D52195"/>
    <w:rsid w:val="00D526B8"/>
    <w:rsid w:val="00D535AA"/>
    <w:rsid w:val="00D5388A"/>
    <w:rsid w:val="00D53983"/>
    <w:rsid w:val="00D5445D"/>
    <w:rsid w:val="00D54DE2"/>
    <w:rsid w:val="00D571C6"/>
    <w:rsid w:val="00D57219"/>
    <w:rsid w:val="00D572AB"/>
    <w:rsid w:val="00D60DCF"/>
    <w:rsid w:val="00D6122D"/>
    <w:rsid w:val="00D61A96"/>
    <w:rsid w:val="00D621CB"/>
    <w:rsid w:val="00D64492"/>
    <w:rsid w:val="00D650C1"/>
    <w:rsid w:val="00D65ACA"/>
    <w:rsid w:val="00D65AE0"/>
    <w:rsid w:val="00D660AE"/>
    <w:rsid w:val="00D662F7"/>
    <w:rsid w:val="00D6641D"/>
    <w:rsid w:val="00D67302"/>
    <w:rsid w:val="00D6732C"/>
    <w:rsid w:val="00D7020B"/>
    <w:rsid w:val="00D7027B"/>
    <w:rsid w:val="00D710E6"/>
    <w:rsid w:val="00D7142B"/>
    <w:rsid w:val="00D71ACE"/>
    <w:rsid w:val="00D735F0"/>
    <w:rsid w:val="00D73B67"/>
    <w:rsid w:val="00D73BA5"/>
    <w:rsid w:val="00D73D31"/>
    <w:rsid w:val="00D7401F"/>
    <w:rsid w:val="00D740AB"/>
    <w:rsid w:val="00D75298"/>
    <w:rsid w:val="00D75360"/>
    <w:rsid w:val="00D75C37"/>
    <w:rsid w:val="00D76873"/>
    <w:rsid w:val="00D76A2A"/>
    <w:rsid w:val="00D76AA0"/>
    <w:rsid w:val="00D76FC9"/>
    <w:rsid w:val="00D80C22"/>
    <w:rsid w:val="00D80E68"/>
    <w:rsid w:val="00D81A38"/>
    <w:rsid w:val="00D82A94"/>
    <w:rsid w:val="00D83648"/>
    <w:rsid w:val="00D83983"/>
    <w:rsid w:val="00D848C1"/>
    <w:rsid w:val="00D85855"/>
    <w:rsid w:val="00D86972"/>
    <w:rsid w:val="00D86B0A"/>
    <w:rsid w:val="00D9006B"/>
    <w:rsid w:val="00D9098C"/>
    <w:rsid w:val="00D90CF2"/>
    <w:rsid w:val="00D90E50"/>
    <w:rsid w:val="00D9167D"/>
    <w:rsid w:val="00D91C90"/>
    <w:rsid w:val="00D93ADC"/>
    <w:rsid w:val="00D94704"/>
    <w:rsid w:val="00D95C91"/>
    <w:rsid w:val="00D96135"/>
    <w:rsid w:val="00D963D7"/>
    <w:rsid w:val="00D96783"/>
    <w:rsid w:val="00D967F1"/>
    <w:rsid w:val="00D9721D"/>
    <w:rsid w:val="00DA0FD0"/>
    <w:rsid w:val="00DA1998"/>
    <w:rsid w:val="00DA2A9F"/>
    <w:rsid w:val="00DA2B2D"/>
    <w:rsid w:val="00DA4BA3"/>
    <w:rsid w:val="00DA62EA"/>
    <w:rsid w:val="00DA6989"/>
    <w:rsid w:val="00DA76A5"/>
    <w:rsid w:val="00DA79A5"/>
    <w:rsid w:val="00DB097D"/>
    <w:rsid w:val="00DB195F"/>
    <w:rsid w:val="00DB1C5E"/>
    <w:rsid w:val="00DB1EE0"/>
    <w:rsid w:val="00DB23BC"/>
    <w:rsid w:val="00DB26D5"/>
    <w:rsid w:val="00DB5188"/>
    <w:rsid w:val="00DB542B"/>
    <w:rsid w:val="00DB56CB"/>
    <w:rsid w:val="00DB6945"/>
    <w:rsid w:val="00DB7A44"/>
    <w:rsid w:val="00DC074B"/>
    <w:rsid w:val="00DC1D37"/>
    <w:rsid w:val="00DC2EFB"/>
    <w:rsid w:val="00DC3056"/>
    <w:rsid w:val="00DC3492"/>
    <w:rsid w:val="00DC50C3"/>
    <w:rsid w:val="00DC55ED"/>
    <w:rsid w:val="00DD12F7"/>
    <w:rsid w:val="00DD283A"/>
    <w:rsid w:val="00DD2EB9"/>
    <w:rsid w:val="00DD3483"/>
    <w:rsid w:val="00DD3532"/>
    <w:rsid w:val="00DD46B7"/>
    <w:rsid w:val="00DD484B"/>
    <w:rsid w:val="00DD4C41"/>
    <w:rsid w:val="00DD6015"/>
    <w:rsid w:val="00DE05CE"/>
    <w:rsid w:val="00DE0E8E"/>
    <w:rsid w:val="00DE25E2"/>
    <w:rsid w:val="00DE2F75"/>
    <w:rsid w:val="00DE3D37"/>
    <w:rsid w:val="00DE4638"/>
    <w:rsid w:val="00DE4847"/>
    <w:rsid w:val="00DE4B20"/>
    <w:rsid w:val="00DE4FED"/>
    <w:rsid w:val="00DE5CF4"/>
    <w:rsid w:val="00DE6007"/>
    <w:rsid w:val="00DE6D03"/>
    <w:rsid w:val="00DE78CB"/>
    <w:rsid w:val="00DF02DB"/>
    <w:rsid w:val="00DF0B75"/>
    <w:rsid w:val="00DF375F"/>
    <w:rsid w:val="00DF3CE1"/>
    <w:rsid w:val="00DF58E6"/>
    <w:rsid w:val="00DF5C93"/>
    <w:rsid w:val="00DF61C0"/>
    <w:rsid w:val="00DF62B2"/>
    <w:rsid w:val="00DF65FC"/>
    <w:rsid w:val="00DF69A4"/>
    <w:rsid w:val="00DF6BFF"/>
    <w:rsid w:val="00DF7F18"/>
    <w:rsid w:val="00E00F9A"/>
    <w:rsid w:val="00E014C7"/>
    <w:rsid w:val="00E01516"/>
    <w:rsid w:val="00E01E7F"/>
    <w:rsid w:val="00E02220"/>
    <w:rsid w:val="00E05C07"/>
    <w:rsid w:val="00E06368"/>
    <w:rsid w:val="00E074A8"/>
    <w:rsid w:val="00E078ED"/>
    <w:rsid w:val="00E07CD3"/>
    <w:rsid w:val="00E07FF8"/>
    <w:rsid w:val="00E10AD0"/>
    <w:rsid w:val="00E1345F"/>
    <w:rsid w:val="00E16283"/>
    <w:rsid w:val="00E16571"/>
    <w:rsid w:val="00E16F0A"/>
    <w:rsid w:val="00E17328"/>
    <w:rsid w:val="00E17FC4"/>
    <w:rsid w:val="00E20837"/>
    <w:rsid w:val="00E2090F"/>
    <w:rsid w:val="00E2121D"/>
    <w:rsid w:val="00E2189A"/>
    <w:rsid w:val="00E22BC4"/>
    <w:rsid w:val="00E22C29"/>
    <w:rsid w:val="00E2359F"/>
    <w:rsid w:val="00E236E0"/>
    <w:rsid w:val="00E24A28"/>
    <w:rsid w:val="00E24BEF"/>
    <w:rsid w:val="00E25027"/>
    <w:rsid w:val="00E263D3"/>
    <w:rsid w:val="00E2717F"/>
    <w:rsid w:val="00E27300"/>
    <w:rsid w:val="00E276EA"/>
    <w:rsid w:val="00E306A1"/>
    <w:rsid w:val="00E31062"/>
    <w:rsid w:val="00E315F3"/>
    <w:rsid w:val="00E3275D"/>
    <w:rsid w:val="00E32D05"/>
    <w:rsid w:val="00E3310A"/>
    <w:rsid w:val="00E33B45"/>
    <w:rsid w:val="00E33E5C"/>
    <w:rsid w:val="00E33F2B"/>
    <w:rsid w:val="00E361F3"/>
    <w:rsid w:val="00E364A0"/>
    <w:rsid w:val="00E36C1B"/>
    <w:rsid w:val="00E370A9"/>
    <w:rsid w:val="00E37CC6"/>
    <w:rsid w:val="00E40CD9"/>
    <w:rsid w:val="00E40D03"/>
    <w:rsid w:val="00E43625"/>
    <w:rsid w:val="00E43716"/>
    <w:rsid w:val="00E4520A"/>
    <w:rsid w:val="00E4538C"/>
    <w:rsid w:val="00E45680"/>
    <w:rsid w:val="00E45A6C"/>
    <w:rsid w:val="00E45E1A"/>
    <w:rsid w:val="00E4646E"/>
    <w:rsid w:val="00E4756E"/>
    <w:rsid w:val="00E476E1"/>
    <w:rsid w:val="00E5190C"/>
    <w:rsid w:val="00E51F3F"/>
    <w:rsid w:val="00E529C4"/>
    <w:rsid w:val="00E5475D"/>
    <w:rsid w:val="00E54DBE"/>
    <w:rsid w:val="00E55324"/>
    <w:rsid w:val="00E55643"/>
    <w:rsid w:val="00E5587C"/>
    <w:rsid w:val="00E57806"/>
    <w:rsid w:val="00E578C3"/>
    <w:rsid w:val="00E57F0F"/>
    <w:rsid w:val="00E60CAF"/>
    <w:rsid w:val="00E613D8"/>
    <w:rsid w:val="00E62A86"/>
    <w:rsid w:val="00E634A6"/>
    <w:rsid w:val="00E63972"/>
    <w:rsid w:val="00E64134"/>
    <w:rsid w:val="00E64234"/>
    <w:rsid w:val="00E6475C"/>
    <w:rsid w:val="00E65C5B"/>
    <w:rsid w:val="00E664D8"/>
    <w:rsid w:val="00E6697E"/>
    <w:rsid w:val="00E66FB1"/>
    <w:rsid w:val="00E67469"/>
    <w:rsid w:val="00E674F5"/>
    <w:rsid w:val="00E677CA"/>
    <w:rsid w:val="00E67A1B"/>
    <w:rsid w:val="00E70E21"/>
    <w:rsid w:val="00E71E18"/>
    <w:rsid w:val="00E7283E"/>
    <w:rsid w:val="00E729C2"/>
    <w:rsid w:val="00E72D83"/>
    <w:rsid w:val="00E72F7B"/>
    <w:rsid w:val="00E731A9"/>
    <w:rsid w:val="00E73596"/>
    <w:rsid w:val="00E74640"/>
    <w:rsid w:val="00E7519D"/>
    <w:rsid w:val="00E77D89"/>
    <w:rsid w:val="00E8190F"/>
    <w:rsid w:val="00E84125"/>
    <w:rsid w:val="00E8469D"/>
    <w:rsid w:val="00E8546F"/>
    <w:rsid w:val="00E85778"/>
    <w:rsid w:val="00E86693"/>
    <w:rsid w:val="00E90BB7"/>
    <w:rsid w:val="00E91B38"/>
    <w:rsid w:val="00E92280"/>
    <w:rsid w:val="00E938D0"/>
    <w:rsid w:val="00EA1088"/>
    <w:rsid w:val="00EA295B"/>
    <w:rsid w:val="00EA2E7D"/>
    <w:rsid w:val="00EA36F2"/>
    <w:rsid w:val="00EA43AD"/>
    <w:rsid w:val="00EA4A27"/>
    <w:rsid w:val="00EA518B"/>
    <w:rsid w:val="00EA7ABA"/>
    <w:rsid w:val="00EB08F0"/>
    <w:rsid w:val="00EB0C91"/>
    <w:rsid w:val="00EB1544"/>
    <w:rsid w:val="00EB2787"/>
    <w:rsid w:val="00EB30AA"/>
    <w:rsid w:val="00EB39AD"/>
    <w:rsid w:val="00EB3D84"/>
    <w:rsid w:val="00EB46B8"/>
    <w:rsid w:val="00EB61E2"/>
    <w:rsid w:val="00EB6571"/>
    <w:rsid w:val="00EB6EEE"/>
    <w:rsid w:val="00EB768B"/>
    <w:rsid w:val="00EB7BB6"/>
    <w:rsid w:val="00EC00BF"/>
    <w:rsid w:val="00EC0A1C"/>
    <w:rsid w:val="00EC0A92"/>
    <w:rsid w:val="00EC0B23"/>
    <w:rsid w:val="00EC29F7"/>
    <w:rsid w:val="00EC2EE3"/>
    <w:rsid w:val="00EC47A6"/>
    <w:rsid w:val="00EC5340"/>
    <w:rsid w:val="00EC53E2"/>
    <w:rsid w:val="00EC6398"/>
    <w:rsid w:val="00EC6BE4"/>
    <w:rsid w:val="00EC778C"/>
    <w:rsid w:val="00ED0127"/>
    <w:rsid w:val="00ED0346"/>
    <w:rsid w:val="00ED0531"/>
    <w:rsid w:val="00ED31D3"/>
    <w:rsid w:val="00ED3820"/>
    <w:rsid w:val="00ED4AAA"/>
    <w:rsid w:val="00ED5786"/>
    <w:rsid w:val="00ED6BD2"/>
    <w:rsid w:val="00ED722E"/>
    <w:rsid w:val="00ED7A29"/>
    <w:rsid w:val="00EE14E5"/>
    <w:rsid w:val="00EE1631"/>
    <w:rsid w:val="00EE25E3"/>
    <w:rsid w:val="00EE287E"/>
    <w:rsid w:val="00EE3083"/>
    <w:rsid w:val="00EE30BC"/>
    <w:rsid w:val="00EE312B"/>
    <w:rsid w:val="00EE32CD"/>
    <w:rsid w:val="00EE376C"/>
    <w:rsid w:val="00EE4B05"/>
    <w:rsid w:val="00EE5090"/>
    <w:rsid w:val="00EE547C"/>
    <w:rsid w:val="00EE6E7B"/>
    <w:rsid w:val="00EE7493"/>
    <w:rsid w:val="00EE7DA8"/>
    <w:rsid w:val="00EF01E9"/>
    <w:rsid w:val="00EF0E40"/>
    <w:rsid w:val="00EF1D55"/>
    <w:rsid w:val="00EF2B34"/>
    <w:rsid w:val="00EF427F"/>
    <w:rsid w:val="00EF51B5"/>
    <w:rsid w:val="00EF53E4"/>
    <w:rsid w:val="00F00827"/>
    <w:rsid w:val="00F02E27"/>
    <w:rsid w:val="00F04519"/>
    <w:rsid w:val="00F04D75"/>
    <w:rsid w:val="00F04FF2"/>
    <w:rsid w:val="00F056FE"/>
    <w:rsid w:val="00F05C82"/>
    <w:rsid w:val="00F067FD"/>
    <w:rsid w:val="00F07263"/>
    <w:rsid w:val="00F1024F"/>
    <w:rsid w:val="00F10255"/>
    <w:rsid w:val="00F105DF"/>
    <w:rsid w:val="00F10B6A"/>
    <w:rsid w:val="00F10E26"/>
    <w:rsid w:val="00F12814"/>
    <w:rsid w:val="00F1299A"/>
    <w:rsid w:val="00F12A28"/>
    <w:rsid w:val="00F12D64"/>
    <w:rsid w:val="00F134D2"/>
    <w:rsid w:val="00F13970"/>
    <w:rsid w:val="00F15274"/>
    <w:rsid w:val="00F15CC0"/>
    <w:rsid w:val="00F15E3C"/>
    <w:rsid w:val="00F202C4"/>
    <w:rsid w:val="00F210D0"/>
    <w:rsid w:val="00F2182A"/>
    <w:rsid w:val="00F21C97"/>
    <w:rsid w:val="00F22CB8"/>
    <w:rsid w:val="00F234B1"/>
    <w:rsid w:val="00F2369F"/>
    <w:rsid w:val="00F24879"/>
    <w:rsid w:val="00F24EA8"/>
    <w:rsid w:val="00F252F5"/>
    <w:rsid w:val="00F25A89"/>
    <w:rsid w:val="00F25B7B"/>
    <w:rsid w:val="00F25E07"/>
    <w:rsid w:val="00F25FE1"/>
    <w:rsid w:val="00F2765E"/>
    <w:rsid w:val="00F3123C"/>
    <w:rsid w:val="00F31526"/>
    <w:rsid w:val="00F33313"/>
    <w:rsid w:val="00F34415"/>
    <w:rsid w:val="00F347EF"/>
    <w:rsid w:val="00F3580F"/>
    <w:rsid w:val="00F3721F"/>
    <w:rsid w:val="00F37E85"/>
    <w:rsid w:val="00F408D0"/>
    <w:rsid w:val="00F409DC"/>
    <w:rsid w:val="00F41781"/>
    <w:rsid w:val="00F4200A"/>
    <w:rsid w:val="00F4211D"/>
    <w:rsid w:val="00F4289F"/>
    <w:rsid w:val="00F42C56"/>
    <w:rsid w:val="00F42F31"/>
    <w:rsid w:val="00F43074"/>
    <w:rsid w:val="00F45211"/>
    <w:rsid w:val="00F4736C"/>
    <w:rsid w:val="00F50379"/>
    <w:rsid w:val="00F50EC3"/>
    <w:rsid w:val="00F5119A"/>
    <w:rsid w:val="00F519A1"/>
    <w:rsid w:val="00F51BBD"/>
    <w:rsid w:val="00F530B9"/>
    <w:rsid w:val="00F532E2"/>
    <w:rsid w:val="00F53988"/>
    <w:rsid w:val="00F54E0E"/>
    <w:rsid w:val="00F55214"/>
    <w:rsid w:val="00F55FF0"/>
    <w:rsid w:val="00F578FA"/>
    <w:rsid w:val="00F57E0E"/>
    <w:rsid w:val="00F610FF"/>
    <w:rsid w:val="00F615BB"/>
    <w:rsid w:val="00F61A3B"/>
    <w:rsid w:val="00F6285D"/>
    <w:rsid w:val="00F63798"/>
    <w:rsid w:val="00F641AE"/>
    <w:rsid w:val="00F6611F"/>
    <w:rsid w:val="00F67F62"/>
    <w:rsid w:val="00F7074A"/>
    <w:rsid w:val="00F7358D"/>
    <w:rsid w:val="00F73895"/>
    <w:rsid w:val="00F73985"/>
    <w:rsid w:val="00F7460F"/>
    <w:rsid w:val="00F74CCD"/>
    <w:rsid w:val="00F751CE"/>
    <w:rsid w:val="00F76463"/>
    <w:rsid w:val="00F77364"/>
    <w:rsid w:val="00F77704"/>
    <w:rsid w:val="00F778F3"/>
    <w:rsid w:val="00F77A13"/>
    <w:rsid w:val="00F77DCC"/>
    <w:rsid w:val="00F815E0"/>
    <w:rsid w:val="00F81E0B"/>
    <w:rsid w:val="00F8223E"/>
    <w:rsid w:val="00F830AB"/>
    <w:rsid w:val="00F8333C"/>
    <w:rsid w:val="00F83555"/>
    <w:rsid w:val="00F8452C"/>
    <w:rsid w:val="00F848F4"/>
    <w:rsid w:val="00F85317"/>
    <w:rsid w:val="00F90321"/>
    <w:rsid w:val="00F9093A"/>
    <w:rsid w:val="00F90BFF"/>
    <w:rsid w:val="00F90D3B"/>
    <w:rsid w:val="00F90DDB"/>
    <w:rsid w:val="00F91287"/>
    <w:rsid w:val="00F9335F"/>
    <w:rsid w:val="00F93693"/>
    <w:rsid w:val="00F936FB"/>
    <w:rsid w:val="00F93C73"/>
    <w:rsid w:val="00F94982"/>
    <w:rsid w:val="00F94A1A"/>
    <w:rsid w:val="00F94CA8"/>
    <w:rsid w:val="00F950D0"/>
    <w:rsid w:val="00F950E1"/>
    <w:rsid w:val="00F958ED"/>
    <w:rsid w:val="00F95983"/>
    <w:rsid w:val="00F9624E"/>
    <w:rsid w:val="00F96906"/>
    <w:rsid w:val="00F97063"/>
    <w:rsid w:val="00FA0C13"/>
    <w:rsid w:val="00FA0DB1"/>
    <w:rsid w:val="00FA11DA"/>
    <w:rsid w:val="00FA1342"/>
    <w:rsid w:val="00FA2513"/>
    <w:rsid w:val="00FA48FC"/>
    <w:rsid w:val="00FA6AFA"/>
    <w:rsid w:val="00FB04CC"/>
    <w:rsid w:val="00FB25BD"/>
    <w:rsid w:val="00FB376B"/>
    <w:rsid w:val="00FB4818"/>
    <w:rsid w:val="00FB4C3A"/>
    <w:rsid w:val="00FB654B"/>
    <w:rsid w:val="00FB6F1A"/>
    <w:rsid w:val="00FB7184"/>
    <w:rsid w:val="00FC018A"/>
    <w:rsid w:val="00FC03A7"/>
    <w:rsid w:val="00FC0A0B"/>
    <w:rsid w:val="00FC14AE"/>
    <w:rsid w:val="00FC22DD"/>
    <w:rsid w:val="00FC2688"/>
    <w:rsid w:val="00FC296A"/>
    <w:rsid w:val="00FC2C1A"/>
    <w:rsid w:val="00FC304C"/>
    <w:rsid w:val="00FC47A2"/>
    <w:rsid w:val="00FC600D"/>
    <w:rsid w:val="00FC72FF"/>
    <w:rsid w:val="00FC7410"/>
    <w:rsid w:val="00FC767B"/>
    <w:rsid w:val="00FD0A92"/>
    <w:rsid w:val="00FD18AE"/>
    <w:rsid w:val="00FD18D1"/>
    <w:rsid w:val="00FD1F3E"/>
    <w:rsid w:val="00FD2D64"/>
    <w:rsid w:val="00FD4CD0"/>
    <w:rsid w:val="00FD6DA1"/>
    <w:rsid w:val="00FD7255"/>
    <w:rsid w:val="00FD7511"/>
    <w:rsid w:val="00FE0C00"/>
    <w:rsid w:val="00FE1142"/>
    <w:rsid w:val="00FE14D4"/>
    <w:rsid w:val="00FE2713"/>
    <w:rsid w:val="00FE36DE"/>
    <w:rsid w:val="00FE3B2A"/>
    <w:rsid w:val="00FE4052"/>
    <w:rsid w:val="00FE40F9"/>
    <w:rsid w:val="00FE4EB9"/>
    <w:rsid w:val="00FE51AB"/>
    <w:rsid w:val="00FF0861"/>
    <w:rsid w:val="00FF0E03"/>
    <w:rsid w:val="00FF173E"/>
    <w:rsid w:val="00FF1C5F"/>
    <w:rsid w:val="00FF1CE8"/>
    <w:rsid w:val="00FF2CA1"/>
    <w:rsid w:val="00FF3AE1"/>
    <w:rsid w:val="00FF40B0"/>
    <w:rsid w:val="00FF468C"/>
    <w:rsid w:val="00FF4CCD"/>
    <w:rsid w:val="00FF51EB"/>
    <w:rsid w:val="00FF5B29"/>
    <w:rsid w:val="00FF611A"/>
    <w:rsid w:val="00FF623D"/>
    <w:rsid w:val="00FF6F71"/>
    <w:rsid w:val="00FF7824"/>
    <w:rsid w:val="00FF7A61"/>
    <w:rsid w:val="00FF7DB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34" w:unhideWhenUsed="0" w:qFormat="1"/>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uiPriority="37"/>
    <w:lsdException w:name="Colorful Shading Accent 6" w:uiPriority="39"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16F0A"/>
    <w:pPr>
      <w:spacing w:after="200" w:line="276" w:lineRule="auto"/>
    </w:pPr>
    <w:rPr>
      <w:sz w:val="22"/>
      <w:szCs w:val="22"/>
      <w:lang w:val="uk-UA"/>
    </w:rPr>
  </w:style>
  <w:style w:type="paragraph" w:styleId="Heading1">
    <w:name w:val="heading 1"/>
    <w:basedOn w:val="Normal"/>
    <w:next w:val="Normal"/>
    <w:link w:val="Heading1Char"/>
    <w:uiPriority w:val="9"/>
    <w:qFormat/>
    <w:rsid w:val="0044186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9"/>
    <w:qFormat/>
    <w:rsid w:val="00B757BC"/>
    <w:pPr>
      <w:keepNext/>
      <w:spacing w:before="240" w:after="60" w:line="240" w:lineRule="auto"/>
      <w:outlineLvl w:val="1"/>
    </w:pPr>
    <w:rPr>
      <w:rFonts w:ascii="Arial" w:eastAsia="Times New Roman" w:hAnsi="Arial" w:cs="Arial"/>
      <w:b/>
      <w:bCs/>
      <w:i/>
      <w:iCs/>
      <w:sz w:val="28"/>
      <w:szCs w:val="28"/>
      <w:lang w:val="ru-RU" w:eastAsia="ru-RU"/>
    </w:rPr>
  </w:style>
  <w:style w:type="paragraph" w:styleId="Heading3">
    <w:name w:val="heading 3"/>
    <w:basedOn w:val="Normal"/>
    <w:next w:val="Normal"/>
    <w:link w:val="Heading3Char"/>
    <w:uiPriority w:val="9"/>
    <w:unhideWhenUsed/>
    <w:qFormat/>
    <w:rsid w:val="00441866"/>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7B2FA6"/>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F65FC"/>
    <w:pPr>
      <w:ind w:left="720"/>
      <w:contextualSpacing/>
    </w:pPr>
  </w:style>
  <w:style w:type="paragraph" w:styleId="Header">
    <w:name w:val="header"/>
    <w:basedOn w:val="Normal"/>
    <w:link w:val="HeaderChar"/>
    <w:uiPriority w:val="99"/>
    <w:semiHidden/>
    <w:unhideWhenUsed/>
    <w:rsid w:val="00B57244"/>
    <w:pPr>
      <w:tabs>
        <w:tab w:val="center" w:pos="4819"/>
        <w:tab w:val="right" w:pos="9639"/>
      </w:tabs>
      <w:spacing w:after="0" w:line="240" w:lineRule="auto"/>
    </w:pPr>
  </w:style>
  <w:style w:type="character" w:customStyle="1" w:styleId="HeaderChar">
    <w:name w:val="Header Char"/>
    <w:basedOn w:val="DefaultParagraphFont"/>
    <w:link w:val="Header"/>
    <w:uiPriority w:val="99"/>
    <w:semiHidden/>
    <w:rsid w:val="00B57244"/>
  </w:style>
  <w:style w:type="paragraph" w:styleId="Footer">
    <w:name w:val="footer"/>
    <w:basedOn w:val="Normal"/>
    <w:link w:val="FooterChar"/>
    <w:uiPriority w:val="99"/>
    <w:unhideWhenUsed/>
    <w:rsid w:val="00B57244"/>
    <w:pPr>
      <w:tabs>
        <w:tab w:val="center" w:pos="4819"/>
        <w:tab w:val="right" w:pos="9639"/>
      </w:tabs>
      <w:spacing w:after="0" w:line="240" w:lineRule="auto"/>
    </w:pPr>
  </w:style>
  <w:style w:type="character" w:customStyle="1" w:styleId="FooterChar">
    <w:name w:val="Footer Char"/>
    <w:basedOn w:val="DefaultParagraphFont"/>
    <w:link w:val="Footer"/>
    <w:uiPriority w:val="99"/>
    <w:rsid w:val="00B57244"/>
  </w:style>
  <w:style w:type="paragraph" w:styleId="NormalWeb">
    <w:name w:val="Normal (Web)"/>
    <w:basedOn w:val="Normal"/>
    <w:uiPriority w:val="99"/>
    <w:unhideWhenUsed/>
    <w:rsid w:val="00D526B8"/>
    <w:pPr>
      <w:spacing w:before="100" w:beforeAutospacing="1" w:after="100" w:afterAutospacing="1" w:line="240" w:lineRule="auto"/>
    </w:pPr>
    <w:rPr>
      <w:rFonts w:ascii="Times New Roman" w:hAnsi="Times New Roman"/>
      <w:sz w:val="24"/>
      <w:szCs w:val="24"/>
      <w:lang w:eastAsia="uk-UA"/>
    </w:rPr>
  </w:style>
  <w:style w:type="character" w:customStyle="1" w:styleId="PlainTextChar">
    <w:name w:val="Plain Text Char"/>
    <w:link w:val="PlainText"/>
    <w:semiHidden/>
    <w:locked/>
    <w:rsid w:val="00D37FE2"/>
    <w:rPr>
      <w:rFonts w:ascii="Cambria" w:hAnsi="Cambria"/>
      <w:sz w:val="21"/>
      <w:szCs w:val="21"/>
    </w:rPr>
  </w:style>
  <w:style w:type="paragraph" w:styleId="PlainText">
    <w:name w:val="Plain Text"/>
    <w:basedOn w:val="Normal"/>
    <w:link w:val="PlainTextChar"/>
    <w:semiHidden/>
    <w:rsid w:val="00D37FE2"/>
    <w:pPr>
      <w:spacing w:after="0" w:line="240" w:lineRule="auto"/>
    </w:pPr>
    <w:rPr>
      <w:rFonts w:ascii="Cambria" w:hAnsi="Cambria"/>
      <w:sz w:val="21"/>
      <w:szCs w:val="21"/>
      <w:lang w:eastAsia="uk-UA"/>
    </w:rPr>
  </w:style>
  <w:style w:type="character" w:customStyle="1" w:styleId="1">
    <w:name w:val="Текст Знак1"/>
    <w:uiPriority w:val="99"/>
    <w:semiHidden/>
    <w:rsid w:val="00D37FE2"/>
    <w:rPr>
      <w:rFonts w:ascii="Courier New" w:hAnsi="Courier New" w:cs="Courier New"/>
      <w:lang w:eastAsia="en-US"/>
    </w:rPr>
  </w:style>
  <w:style w:type="paragraph" w:styleId="FootnoteText">
    <w:name w:val="footnote text"/>
    <w:basedOn w:val="Normal"/>
    <w:link w:val="FootnoteTextChar"/>
    <w:uiPriority w:val="99"/>
    <w:semiHidden/>
    <w:unhideWhenUsed/>
    <w:rsid w:val="0012734A"/>
    <w:pPr>
      <w:spacing w:after="0" w:line="240" w:lineRule="auto"/>
    </w:pPr>
    <w:rPr>
      <w:sz w:val="20"/>
      <w:szCs w:val="20"/>
      <w:lang w:val="en-US"/>
    </w:rPr>
  </w:style>
  <w:style w:type="character" w:customStyle="1" w:styleId="FootnoteTextChar">
    <w:name w:val="Footnote Text Char"/>
    <w:basedOn w:val="DefaultParagraphFont"/>
    <w:link w:val="FootnoteText"/>
    <w:uiPriority w:val="99"/>
    <w:semiHidden/>
    <w:rsid w:val="0012734A"/>
  </w:style>
  <w:style w:type="character" w:styleId="FootnoteReference">
    <w:name w:val="footnote reference"/>
    <w:uiPriority w:val="99"/>
    <w:semiHidden/>
    <w:unhideWhenUsed/>
    <w:rsid w:val="0012734A"/>
    <w:rPr>
      <w:vertAlign w:val="superscript"/>
    </w:rPr>
  </w:style>
  <w:style w:type="paragraph" w:styleId="BalloonText">
    <w:name w:val="Balloon Text"/>
    <w:basedOn w:val="Normal"/>
    <w:link w:val="BalloonTextChar"/>
    <w:uiPriority w:val="99"/>
    <w:semiHidden/>
    <w:unhideWhenUsed/>
    <w:rsid w:val="00E54DBE"/>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E54DBE"/>
    <w:rPr>
      <w:rFonts w:ascii="Tahoma" w:hAnsi="Tahoma" w:cs="Tahoma"/>
      <w:sz w:val="16"/>
      <w:szCs w:val="16"/>
      <w:lang w:val="uk-UA"/>
    </w:rPr>
  </w:style>
  <w:style w:type="paragraph" w:styleId="EndnoteText">
    <w:name w:val="endnote text"/>
    <w:basedOn w:val="Normal"/>
    <w:link w:val="EndnoteTextChar"/>
    <w:uiPriority w:val="99"/>
    <w:semiHidden/>
    <w:unhideWhenUsed/>
    <w:rsid w:val="001D7D9C"/>
    <w:rPr>
      <w:sz w:val="20"/>
      <w:szCs w:val="20"/>
    </w:rPr>
  </w:style>
  <w:style w:type="character" w:customStyle="1" w:styleId="EndnoteTextChar">
    <w:name w:val="Endnote Text Char"/>
    <w:link w:val="EndnoteText"/>
    <w:uiPriority w:val="99"/>
    <w:semiHidden/>
    <w:rsid w:val="001D7D9C"/>
    <w:rPr>
      <w:lang w:val="uk-UA"/>
    </w:rPr>
  </w:style>
  <w:style w:type="character" w:styleId="EndnoteReference">
    <w:name w:val="endnote reference"/>
    <w:uiPriority w:val="99"/>
    <w:semiHidden/>
    <w:unhideWhenUsed/>
    <w:rsid w:val="001D7D9C"/>
    <w:rPr>
      <w:vertAlign w:val="superscript"/>
    </w:rPr>
  </w:style>
  <w:style w:type="paragraph" w:customStyle="1" w:styleId="Default">
    <w:name w:val="Default"/>
    <w:rsid w:val="00631A47"/>
    <w:pPr>
      <w:autoSpaceDE w:val="0"/>
      <w:autoSpaceDN w:val="0"/>
      <w:adjustRightInd w:val="0"/>
    </w:pPr>
    <w:rPr>
      <w:rFonts w:cs="Calibri"/>
      <w:color w:val="000000"/>
      <w:sz w:val="24"/>
      <w:szCs w:val="24"/>
    </w:rPr>
  </w:style>
  <w:style w:type="character" w:styleId="Hyperlink">
    <w:name w:val="Hyperlink"/>
    <w:uiPriority w:val="99"/>
    <w:unhideWhenUsed/>
    <w:rsid w:val="00631A47"/>
    <w:rPr>
      <w:color w:val="0000FF"/>
      <w:u w:val="single"/>
    </w:rPr>
  </w:style>
  <w:style w:type="character" w:customStyle="1" w:styleId="Heading2Char">
    <w:name w:val="Heading 2 Char"/>
    <w:link w:val="Heading2"/>
    <w:uiPriority w:val="99"/>
    <w:rsid w:val="00B757BC"/>
    <w:rPr>
      <w:rFonts w:ascii="Arial" w:eastAsia="Times New Roman" w:hAnsi="Arial" w:cs="Arial"/>
      <w:b/>
      <w:bCs/>
      <w:i/>
      <w:iCs/>
      <w:sz w:val="28"/>
      <w:szCs w:val="28"/>
      <w:lang w:val="ru-RU" w:eastAsia="ru-RU"/>
    </w:rPr>
  </w:style>
  <w:style w:type="character" w:styleId="CommentReference">
    <w:name w:val="annotation reference"/>
    <w:uiPriority w:val="99"/>
    <w:semiHidden/>
    <w:unhideWhenUsed/>
    <w:rsid w:val="001A175D"/>
    <w:rPr>
      <w:sz w:val="16"/>
      <w:szCs w:val="16"/>
    </w:rPr>
  </w:style>
  <w:style w:type="paragraph" w:styleId="CommentText">
    <w:name w:val="annotation text"/>
    <w:basedOn w:val="Normal"/>
    <w:link w:val="CommentTextChar"/>
    <w:uiPriority w:val="99"/>
    <w:semiHidden/>
    <w:unhideWhenUsed/>
    <w:rsid w:val="001A175D"/>
    <w:rPr>
      <w:sz w:val="20"/>
      <w:szCs w:val="20"/>
    </w:rPr>
  </w:style>
  <w:style w:type="character" w:customStyle="1" w:styleId="CommentTextChar">
    <w:name w:val="Comment Text Char"/>
    <w:link w:val="CommentText"/>
    <w:uiPriority w:val="99"/>
    <w:semiHidden/>
    <w:rsid w:val="001A175D"/>
    <w:rPr>
      <w:lang w:val="uk-UA"/>
    </w:rPr>
  </w:style>
  <w:style w:type="paragraph" w:styleId="CommentSubject">
    <w:name w:val="annotation subject"/>
    <w:basedOn w:val="CommentText"/>
    <w:next w:val="CommentText"/>
    <w:link w:val="CommentSubjectChar"/>
    <w:uiPriority w:val="99"/>
    <w:semiHidden/>
    <w:unhideWhenUsed/>
    <w:rsid w:val="001A175D"/>
    <w:rPr>
      <w:b/>
      <w:bCs/>
    </w:rPr>
  </w:style>
  <w:style w:type="character" w:customStyle="1" w:styleId="CommentSubjectChar">
    <w:name w:val="Comment Subject Char"/>
    <w:link w:val="CommentSubject"/>
    <w:uiPriority w:val="99"/>
    <w:semiHidden/>
    <w:rsid w:val="001A175D"/>
    <w:rPr>
      <w:b/>
      <w:bCs/>
      <w:lang w:val="uk-UA"/>
    </w:rPr>
  </w:style>
  <w:style w:type="paragraph" w:styleId="Revision">
    <w:name w:val="Revision"/>
    <w:hidden/>
    <w:uiPriority w:val="71"/>
    <w:rsid w:val="008F36FB"/>
    <w:rPr>
      <w:sz w:val="22"/>
      <w:szCs w:val="22"/>
      <w:lang w:val="uk-UA"/>
    </w:rPr>
  </w:style>
  <w:style w:type="character" w:styleId="FollowedHyperlink">
    <w:name w:val="FollowedHyperlink"/>
    <w:basedOn w:val="DefaultParagraphFont"/>
    <w:uiPriority w:val="99"/>
    <w:semiHidden/>
    <w:unhideWhenUsed/>
    <w:rsid w:val="00380FEC"/>
    <w:rPr>
      <w:color w:val="800080" w:themeColor="followedHyperlink"/>
      <w:u w:val="single"/>
    </w:rPr>
  </w:style>
  <w:style w:type="character" w:customStyle="1" w:styleId="Heading1Char">
    <w:name w:val="Heading 1 Char"/>
    <w:basedOn w:val="DefaultParagraphFont"/>
    <w:link w:val="Heading1"/>
    <w:uiPriority w:val="9"/>
    <w:rsid w:val="00441866"/>
    <w:rPr>
      <w:rFonts w:asciiTheme="majorHAnsi" w:eastAsiaTheme="majorEastAsia" w:hAnsiTheme="majorHAnsi" w:cstheme="majorBidi"/>
      <w:b/>
      <w:bCs/>
      <w:color w:val="365F91" w:themeColor="accent1" w:themeShade="BF"/>
      <w:sz w:val="28"/>
      <w:szCs w:val="28"/>
      <w:lang w:val="uk-UA"/>
    </w:rPr>
  </w:style>
  <w:style w:type="character" w:customStyle="1" w:styleId="Heading3Char">
    <w:name w:val="Heading 3 Char"/>
    <w:basedOn w:val="DefaultParagraphFont"/>
    <w:link w:val="Heading3"/>
    <w:uiPriority w:val="9"/>
    <w:rsid w:val="00441866"/>
    <w:rPr>
      <w:rFonts w:asciiTheme="majorHAnsi" w:eastAsiaTheme="majorEastAsia" w:hAnsiTheme="majorHAnsi" w:cstheme="majorBidi"/>
      <w:b/>
      <w:bCs/>
      <w:color w:val="4F81BD" w:themeColor="accent1"/>
      <w:sz w:val="22"/>
      <w:szCs w:val="22"/>
      <w:lang w:val="uk-UA"/>
    </w:rPr>
  </w:style>
  <w:style w:type="character" w:customStyle="1" w:styleId="Heading4Char">
    <w:name w:val="Heading 4 Char"/>
    <w:basedOn w:val="DefaultParagraphFont"/>
    <w:link w:val="Heading4"/>
    <w:uiPriority w:val="9"/>
    <w:rsid w:val="007B2FA6"/>
    <w:rPr>
      <w:rFonts w:asciiTheme="majorHAnsi" w:eastAsiaTheme="majorEastAsia" w:hAnsiTheme="majorHAnsi" w:cstheme="majorBidi"/>
      <w:b/>
      <w:bCs/>
      <w:i/>
      <w:iCs/>
      <w:color w:val="4F81BD" w:themeColor="accent1"/>
      <w:sz w:val="22"/>
      <w:szCs w:val="22"/>
      <w:lang w:val="uk-UA"/>
    </w:rPr>
  </w:style>
  <w:style w:type="table" w:styleId="TableGrid">
    <w:name w:val="Table Grid"/>
    <w:basedOn w:val="TableNormal"/>
    <w:uiPriority w:val="59"/>
    <w:rsid w:val="007A304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DefaultParagraphFont"/>
    <w:rsid w:val="0005726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34" w:unhideWhenUsed="0" w:qFormat="1"/>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uiPriority="37"/>
    <w:lsdException w:name="Colorful Shading Accent 6" w:uiPriority="39"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16F0A"/>
    <w:pPr>
      <w:spacing w:after="200" w:line="276" w:lineRule="auto"/>
    </w:pPr>
    <w:rPr>
      <w:sz w:val="22"/>
      <w:szCs w:val="22"/>
      <w:lang w:val="uk-UA"/>
    </w:rPr>
  </w:style>
  <w:style w:type="paragraph" w:styleId="Heading1">
    <w:name w:val="heading 1"/>
    <w:basedOn w:val="Normal"/>
    <w:next w:val="Normal"/>
    <w:link w:val="Heading1Char"/>
    <w:uiPriority w:val="9"/>
    <w:qFormat/>
    <w:rsid w:val="0044186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9"/>
    <w:qFormat/>
    <w:rsid w:val="00B757BC"/>
    <w:pPr>
      <w:keepNext/>
      <w:spacing w:before="240" w:after="60" w:line="240" w:lineRule="auto"/>
      <w:outlineLvl w:val="1"/>
    </w:pPr>
    <w:rPr>
      <w:rFonts w:ascii="Arial" w:eastAsia="Times New Roman" w:hAnsi="Arial" w:cs="Arial"/>
      <w:b/>
      <w:bCs/>
      <w:i/>
      <w:iCs/>
      <w:sz w:val="28"/>
      <w:szCs w:val="28"/>
      <w:lang w:val="ru-RU" w:eastAsia="ru-RU"/>
    </w:rPr>
  </w:style>
  <w:style w:type="paragraph" w:styleId="Heading3">
    <w:name w:val="heading 3"/>
    <w:basedOn w:val="Normal"/>
    <w:next w:val="Normal"/>
    <w:link w:val="Heading3Char"/>
    <w:uiPriority w:val="9"/>
    <w:unhideWhenUsed/>
    <w:qFormat/>
    <w:rsid w:val="00441866"/>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7B2FA6"/>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F65FC"/>
    <w:pPr>
      <w:ind w:left="720"/>
      <w:contextualSpacing/>
    </w:pPr>
  </w:style>
  <w:style w:type="paragraph" w:styleId="Header">
    <w:name w:val="header"/>
    <w:basedOn w:val="Normal"/>
    <w:link w:val="HeaderChar"/>
    <w:uiPriority w:val="99"/>
    <w:semiHidden/>
    <w:unhideWhenUsed/>
    <w:rsid w:val="00B57244"/>
    <w:pPr>
      <w:tabs>
        <w:tab w:val="center" w:pos="4819"/>
        <w:tab w:val="right" w:pos="9639"/>
      </w:tabs>
      <w:spacing w:after="0" w:line="240" w:lineRule="auto"/>
    </w:pPr>
  </w:style>
  <w:style w:type="character" w:customStyle="1" w:styleId="HeaderChar">
    <w:name w:val="Header Char"/>
    <w:basedOn w:val="DefaultParagraphFont"/>
    <w:link w:val="Header"/>
    <w:uiPriority w:val="99"/>
    <w:semiHidden/>
    <w:rsid w:val="00B57244"/>
  </w:style>
  <w:style w:type="paragraph" w:styleId="Footer">
    <w:name w:val="footer"/>
    <w:basedOn w:val="Normal"/>
    <w:link w:val="FooterChar"/>
    <w:uiPriority w:val="99"/>
    <w:unhideWhenUsed/>
    <w:rsid w:val="00B57244"/>
    <w:pPr>
      <w:tabs>
        <w:tab w:val="center" w:pos="4819"/>
        <w:tab w:val="right" w:pos="9639"/>
      </w:tabs>
      <w:spacing w:after="0" w:line="240" w:lineRule="auto"/>
    </w:pPr>
  </w:style>
  <w:style w:type="character" w:customStyle="1" w:styleId="FooterChar">
    <w:name w:val="Footer Char"/>
    <w:basedOn w:val="DefaultParagraphFont"/>
    <w:link w:val="Footer"/>
    <w:uiPriority w:val="99"/>
    <w:rsid w:val="00B57244"/>
  </w:style>
  <w:style w:type="paragraph" w:styleId="NormalWeb">
    <w:name w:val="Normal (Web)"/>
    <w:basedOn w:val="Normal"/>
    <w:uiPriority w:val="99"/>
    <w:unhideWhenUsed/>
    <w:rsid w:val="00D526B8"/>
    <w:pPr>
      <w:spacing w:before="100" w:beforeAutospacing="1" w:after="100" w:afterAutospacing="1" w:line="240" w:lineRule="auto"/>
    </w:pPr>
    <w:rPr>
      <w:rFonts w:ascii="Times New Roman" w:hAnsi="Times New Roman"/>
      <w:sz w:val="24"/>
      <w:szCs w:val="24"/>
      <w:lang w:eastAsia="uk-UA"/>
    </w:rPr>
  </w:style>
  <w:style w:type="character" w:customStyle="1" w:styleId="PlainTextChar">
    <w:name w:val="Plain Text Char"/>
    <w:link w:val="PlainText"/>
    <w:semiHidden/>
    <w:locked/>
    <w:rsid w:val="00D37FE2"/>
    <w:rPr>
      <w:rFonts w:ascii="Cambria" w:hAnsi="Cambria"/>
      <w:sz w:val="21"/>
      <w:szCs w:val="21"/>
    </w:rPr>
  </w:style>
  <w:style w:type="paragraph" w:styleId="PlainText">
    <w:name w:val="Plain Text"/>
    <w:basedOn w:val="Normal"/>
    <w:link w:val="PlainTextChar"/>
    <w:semiHidden/>
    <w:rsid w:val="00D37FE2"/>
    <w:pPr>
      <w:spacing w:after="0" w:line="240" w:lineRule="auto"/>
    </w:pPr>
    <w:rPr>
      <w:rFonts w:ascii="Cambria" w:hAnsi="Cambria"/>
      <w:sz w:val="21"/>
      <w:szCs w:val="21"/>
      <w:lang w:eastAsia="uk-UA"/>
    </w:rPr>
  </w:style>
  <w:style w:type="character" w:customStyle="1" w:styleId="1">
    <w:name w:val="Текст Знак1"/>
    <w:uiPriority w:val="99"/>
    <w:semiHidden/>
    <w:rsid w:val="00D37FE2"/>
    <w:rPr>
      <w:rFonts w:ascii="Courier New" w:hAnsi="Courier New" w:cs="Courier New"/>
      <w:lang w:eastAsia="en-US"/>
    </w:rPr>
  </w:style>
  <w:style w:type="paragraph" w:styleId="FootnoteText">
    <w:name w:val="footnote text"/>
    <w:basedOn w:val="Normal"/>
    <w:link w:val="FootnoteTextChar"/>
    <w:uiPriority w:val="99"/>
    <w:semiHidden/>
    <w:unhideWhenUsed/>
    <w:rsid w:val="0012734A"/>
    <w:pPr>
      <w:spacing w:after="0" w:line="240" w:lineRule="auto"/>
    </w:pPr>
    <w:rPr>
      <w:sz w:val="20"/>
      <w:szCs w:val="20"/>
      <w:lang w:val="en-US"/>
    </w:rPr>
  </w:style>
  <w:style w:type="character" w:customStyle="1" w:styleId="FootnoteTextChar">
    <w:name w:val="Footnote Text Char"/>
    <w:basedOn w:val="DefaultParagraphFont"/>
    <w:link w:val="FootnoteText"/>
    <w:uiPriority w:val="99"/>
    <w:semiHidden/>
    <w:rsid w:val="0012734A"/>
  </w:style>
  <w:style w:type="character" w:styleId="FootnoteReference">
    <w:name w:val="footnote reference"/>
    <w:uiPriority w:val="99"/>
    <w:semiHidden/>
    <w:unhideWhenUsed/>
    <w:rsid w:val="0012734A"/>
    <w:rPr>
      <w:vertAlign w:val="superscript"/>
    </w:rPr>
  </w:style>
  <w:style w:type="paragraph" w:styleId="BalloonText">
    <w:name w:val="Balloon Text"/>
    <w:basedOn w:val="Normal"/>
    <w:link w:val="BalloonTextChar"/>
    <w:uiPriority w:val="99"/>
    <w:semiHidden/>
    <w:unhideWhenUsed/>
    <w:rsid w:val="00E54DBE"/>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E54DBE"/>
    <w:rPr>
      <w:rFonts w:ascii="Tahoma" w:hAnsi="Tahoma" w:cs="Tahoma"/>
      <w:sz w:val="16"/>
      <w:szCs w:val="16"/>
      <w:lang w:val="uk-UA"/>
    </w:rPr>
  </w:style>
  <w:style w:type="paragraph" w:styleId="EndnoteText">
    <w:name w:val="endnote text"/>
    <w:basedOn w:val="Normal"/>
    <w:link w:val="EndnoteTextChar"/>
    <w:uiPriority w:val="99"/>
    <w:semiHidden/>
    <w:unhideWhenUsed/>
    <w:rsid w:val="001D7D9C"/>
    <w:rPr>
      <w:sz w:val="20"/>
      <w:szCs w:val="20"/>
    </w:rPr>
  </w:style>
  <w:style w:type="character" w:customStyle="1" w:styleId="EndnoteTextChar">
    <w:name w:val="Endnote Text Char"/>
    <w:link w:val="EndnoteText"/>
    <w:uiPriority w:val="99"/>
    <w:semiHidden/>
    <w:rsid w:val="001D7D9C"/>
    <w:rPr>
      <w:lang w:val="uk-UA"/>
    </w:rPr>
  </w:style>
  <w:style w:type="character" w:styleId="EndnoteReference">
    <w:name w:val="endnote reference"/>
    <w:uiPriority w:val="99"/>
    <w:semiHidden/>
    <w:unhideWhenUsed/>
    <w:rsid w:val="001D7D9C"/>
    <w:rPr>
      <w:vertAlign w:val="superscript"/>
    </w:rPr>
  </w:style>
  <w:style w:type="paragraph" w:customStyle="1" w:styleId="Default">
    <w:name w:val="Default"/>
    <w:rsid w:val="00631A47"/>
    <w:pPr>
      <w:autoSpaceDE w:val="0"/>
      <w:autoSpaceDN w:val="0"/>
      <w:adjustRightInd w:val="0"/>
    </w:pPr>
    <w:rPr>
      <w:rFonts w:cs="Calibri"/>
      <w:color w:val="000000"/>
      <w:sz w:val="24"/>
      <w:szCs w:val="24"/>
    </w:rPr>
  </w:style>
  <w:style w:type="character" w:styleId="Hyperlink">
    <w:name w:val="Hyperlink"/>
    <w:uiPriority w:val="99"/>
    <w:unhideWhenUsed/>
    <w:rsid w:val="00631A47"/>
    <w:rPr>
      <w:color w:val="0000FF"/>
      <w:u w:val="single"/>
    </w:rPr>
  </w:style>
  <w:style w:type="character" w:customStyle="1" w:styleId="Heading2Char">
    <w:name w:val="Heading 2 Char"/>
    <w:link w:val="Heading2"/>
    <w:uiPriority w:val="99"/>
    <w:rsid w:val="00B757BC"/>
    <w:rPr>
      <w:rFonts w:ascii="Arial" w:eastAsia="Times New Roman" w:hAnsi="Arial" w:cs="Arial"/>
      <w:b/>
      <w:bCs/>
      <w:i/>
      <w:iCs/>
      <w:sz w:val="28"/>
      <w:szCs w:val="28"/>
      <w:lang w:val="ru-RU" w:eastAsia="ru-RU"/>
    </w:rPr>
  </w:style>
  <w:style w:type="character" w:styleId="CommentReference">
    <w:name w:val="annotation reference"/>
    <w:uiPriority w:val="99"/>
    <w:semiHidden/>
    <w:unhideWhenUsed/>
    <w:rsid w:val="001A175D"/>
    <w:rPr>
      <w:sz w:val="16"/>
      <w:szCs w:val="16"/>
    </w:rPr>
  </w:style>
  <w:style w:type="paragraph" w:styleId="CommentText">
    <w:name w:val="annotation text"/>
    <w:basedOn w:val="Normal"/>
    <w:link w:val="CommentTextChar"/>
    <w:uiPriority w:val="99"/>
    <w:semiHidden/>
    <w:unhideWhenUsed/>
    <w:rsid w:val="001A175D"/>
    <w:rPr>
      <w:sz w:val="20"/>
      <w:szCs w:val="20"/>
    </w:rPr>
  </w:style>
  <w:style w:type="character" w:customStyle="1" w:styleId="CommentTextChar">
    <w:name w:val="Comment Text Char"/>
    <w:link w:val="CommentText"/>
    <w:uiPriority w:val="99"/>
    <w:semiHidden/>
    <w:rsid w:val="001A175D"/>
    <w:rPr>
      <w:lang w:val="uk-UA"/>
    </w:rPr>
  </w:style>
  <w:style w:type="paragraph" w:styleId="CommentSubject">
    <w:name w:val="annotation subject"/>
    <w:basedOn w:val="CommentText"/>
    <w:next w:val="CommentText"/>
    <w:link w:val="CommentSubjectChar"/>
    <w:uiPriority w:val="99"/>
    <w:semiHidden/>
    <w:unhideWhenUsed/>
    <w:rsid w:val="001A175D"/>
    <w:rPr>
      <w:b/>
      <w:bCs/>
    </w:rPr>
  </w:style>
  <w:style w:type="character" w:customStyle="1" w:styleId="CommentSubjectChar">
    <w:name w:val="Comment Subject Char"/>
    <w:link w:val="CommentSubject"/>
    <w:uiPriority w:val="99"/>
    <w:semiHidden/>
    <w:rsid w:val="001A175D"/>
    <w:rPr>
      <w:b/>
      <w:bCs/>
      <w:lang w:val="uk-UA"/>
    </w:rPr>
  </w:style>
  <w:style w:type="paragraph" w:styleId="Revision">
    <w:name w:val="Revision"/>
    <w:hidden/>
    <w:uiPriority w:val="71"/>
    <w:rsid w:val="008F36FB"/>
    <w:rPr>
      <w:sz w:val="22"/>
      <w:szCs w:val="22"/>
      <w:lang w:val="uk-UA"/>
    </w:rPr>
  </w:style>
  <w:style w:type="character" w:styleId="FollowedHyperlink">
    <w:name w:val="FollowedHyperlink"/>
    <w:basedOn w:val="DefaultParagraphFont"/>
    <w:uiPriority w:val="99"/>
    <w:semiHidden/>
    <w:unhideWhenUsed/>
    <w:rsid w:val="00380FEC"/>
    <w:rPr>
      <w:color w:val="800080" w:themeColor="followedHyperlink"/>
      <w:u w:val="single"/>
    </w:rPr>
  </w:style>
  <w:style w:type="character" w:customStyle="1" w:styleId="Heading1Char">
    <w:name w:val="Heading 1 Char"/>
    <w:basedOn w:val="DefaultParagraphFont"/>
    <w:link w:val="Heading1"/>
    <w:uiPriority w:val="9"/>
    <w:rsid w:val="00441866"/>
    <w:rPr>
      <w:rFonts w:asciiTheme="majorHAnsi" w:eastAsiaTheme="majorEastAsia" w:hAnsiTheme="majorHAnsi" w:cstheme="majorBidi"/>
      <w:b/>
      <w:bCs/>
      <w:color w:val="365F91" w:themeColor="accent1" w:themeShade="BF"/>
      <w:sz w:val="28"/>
      <w:szCs w:val="28"/>
      <w:lang w:val="uk-UA"/>
    </w:rPr>
  </w:style>
  <w:style w:type="character" w:customStyle="1" w:styleId="Heading3Char">
    <w:name w:val="Heading 3 Char"/>
    <w:basedOn w:val="DefaultParagraphFont"/>
    <w:link w:val="Heading3"/>
    <w:uiPriority w:val="9"/>
    <w:rsid w:val="00441866"/>
    <w:rPr>
      <w:rFonts w:asciiTheme="majorHAnsi" w:eastAsiaTheme="majorEastAsia" w:hAnsiTheme="majorHAnsi" w:cstheme="majorBidi"/>
      <w:b/>
      <w:bCs/>
      <w:color w:val="4F81BD" w:themeColor="accent1"/>
      <w:sz w:val="22"/>
      <w:szCs w:val="22"/>
      <w:lang w:val="uk-UA"/>
    </w:rPr>
  </w:style>
  <w:style w:type="character" w:customStyle="1" w:styleId="Heading4Char">
    <w:name w:val="Heading 4 Char"/>
    <w:basedOn w:val="DefaultParagraphFont"/>
    <w:link w:val="Heading4"/>
    <w:uiPriority w:val="9"/>
    <w:rsid w:val="007B2FA6"/>
    <w:rPr>
      <w:rFonts w:asciiTheme="majorHAnsi" w:eastAsiaTheme="majorEastAsia" w:hAnsiTheme="majorHAnsi" w:cstheme="majorBidi"/>
      <w:b/>
      <w:bCs/>
      <w:i/>
      <w:iCs/>
      <w:color w:val="4F81BD" w:themeColor="accent1"/>
      <w:sz w:val="22"/>
      <w:szCs w:val="22"/>
      <w:lang w:val="uk-UA"/>
    </w:rPr>
  </w:style>
  <w:style w:type="table" w:styleId="TableGrid">
    <w:name w:val="Table Grid"/>
    <w:basedOn w:val="TableNormal"/>
    <w:uiPriority w:val="59"/>
    <w:rsid w:val="007A304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DefaultParagraphFont"/>
    <w:rsid w:val="0005726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2535157">
      <w:bodyDiv w:val="1"/>
      <w:marLeft w:val="0"/>
      <w:marRight w:val="0"/>
      <w:marTop w:val="0"/>
      <w:marBottom w:val="0"/>
      <w:divBdr>
        <w:top w:val="none" w:sz="0" w:space="0" w:color="auto"/>
        <w:left w:val="none" w:sz="0" w:space="0" w:color="auto"/>
        <w:bottom w:val="none" w:sz="0" w:space="0" w:color="auto"/>
        <w:right w:val="none" w:sz="0" w:space="0" w:color="auto"/>
      </w:divBdr>
    </w:div>
    <w:div w:id="189803559">
      <w:bodyDiv w:val="1"/>
      <w:marLeft w:val="0"/>
      <w:marRight w:val="0"/>
      <w:marTop w:val="0"/>
      <w:marBottom w:val="0"/>
      <w:divBdr>
        <w:top w:val="none" w:sz="0" w:space="0" w:color="auto"/>
        <w:left w:val="none" w:sz="0" w:space="0" w:color="auto"/>
        <w:bottom w:val="none" w:sz="0" w:space="0" w:color="auto"/>
        <w:right w:val="none" w:sz="0" w:space="0" w:color="auto"/>
      </w:divBdr>
    </w:div>
    <w:div w:id="278996539">
      <w:bodyDiv w:val="1"/>
      <w:marLeft w:val="0"/>
      <w:marRight w:val="0"/>
      <w:marTop w:val="0"/>
      <w:marBottom w:val="0"/>
      <w:divBdr>
        <w:top w:val="none" w:sz="0" w:space="0" w:color="auto"/>
        <w:left w:val="none" w:sz="0" w:space="0" w:color="auto"/>
        <w:bottom w:val="none" w:sz="0" w:space="0" w:color="auto"/>
        <w:right w:val="none" w:sz="0" w:space="0" w:color="auto"/>
      </w:divBdr>
    </w:div>
    <w:div w:id="764611205">
      <w:bodyDiv w:val="1"/>
      <w:marLeft w:val="0"/>
      <w:marRight w:val="0"/>
      <w:marTop w:val="0"/>
      <w:marBottom w:val="0"/>
      <w:divBdr>
        <w:top w:val="none" w:sz="0" w:space="0" w:color="auto"/>
        <w:left w:val="none" w:sz="0" w:space="0" w:color="auto"/>
        <w:bottom w:val="none" w:sz="0" w:space="0" w:color="auto"/>
        <w:right w:val="none" w:sz="0" w:space="0" w:color="auto"/>
      </w:divBdr>
    </w:div>
    <w:div w:id="1328634529">
      <w:bodyDiv w:val="1"/>
      <w:marLeft w:val="0"/>
      <w:marRight w:val="0"/>
      <w:marTop w:val="0"/>
      <w:marBottom w:val="0"/>
      <w:divBdr>
        <w:top w:val="none" w:sz="0" w:space="0" w:color="auto"/>
        <w:left w:val="none" w:sz="0" w:space="0" w:color="auto"/>
        <w:bottom w:val="none" w:sz="0" w:space="0" w:color="auto"/>
        <w:right w:val="none" w:sz="0" w:space="0" w:color="auto"/>
      </w:divBdr>
    </w:div>
    <w:div w:id="196472476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jpeg"/><Relationship Id="rId5" Type="http://schemas.openxmlformats.org/officeDocument/2006/relationships/settings" Target="settings.xml"/><Relationship Id="rId10" Type="http://schemas.openxmlformats.org/officeDocument/2006/relationships/hyperlink" Target="http://www.academicwebfolio.org"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97158F-C15D-4BE2-9A46-E615C6F8AC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10</Pages>
  <Words>6095</Words>
  <Characters>34745</Characters>
  <Application>Microsoft Office Word</Application>
  <DocSecurity>4</DocSecurity>
  <Lines>289</Lines>
  <Paragraphs>81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ICPS</Company>
  <LinksUpToDate>false</LinksUpToDate>
  <CharactersWithSpaces>40759</CharactersWithSpaces>
  <SharedDoc>false</SharedDoc>
  <HLinks>
    <vt:vector size="6" baseType="variant">
      <vt:variant>
        <vt:i4>4653137</vt:i4>
      </vt:variant>
      <vt:variant>
        <vt:i4>0</vt:i4>
      </vt:variant>
      <vt:variant>
        <vt:i4>0</vt:i4>
      </vt:variant>
      <vt:variant>
        <vt:i4>5</vt:i4>
      </vt:variant>
      <vt:variant>
        <vt:lpwstr>http://www.academicwebfolio.org/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Sergiy Zaitsev</dc:creator>
  <cp:lastModifiedBy>Daphne Panayotatos</cp:lastModifiedBy>
  <cp:revision>2</cp:revision>
  <cp:lastPrinted>2014-07-11T13:28:00Z</cp:lastPrinted>
  <dcterms:created xsi:type="dcterms:W3CDTF">2014-07-15T07:16:00Z</dcterms:created>
  <dcterms:modified xsi:type="dcterms:W3CDTF">2014-07-15T07:16:00Z</dcterms:modified>
</cp:coreProperties>
</file>